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01C1" w14:textId="23270980" w:rsidR="00B4577A" w:rsidRPr="00707225" w:rsidRDefault="00A32ECF" w:rsidP="00D83172">
      <w:pPr>
        <w:jc w:val="right"/>
        <w:rPr>
          <w:rFonts w:ascii="Myriad Pro" w:hAnsi="Myriad Pro"/>
          <w:color w:val="7F7F7F"/>
          <w:sz w:val="12"/>
          <w:szCs w:val="32"/>
        </w:rPr>
      </w:pPr>
      <w:bookmarkStart w:id="0" w:name="_GoBack"/>
      <w:bookmarkEnd w:id="0"/>
      <w:r w:rsidRPr="00A32ECF">
        <w:rPr>
          <w:rFonts w:ascii="Myriad Pro" w:hAnsi="Myriad Pro"/>
          <w:noProof/>
          <w:color w:val="7F7F7F"/>
          <w:sz w:val="12"/>
          <w:szCs w:val="32"/>
        </w:rPr>
        <w:drawing>
          <wp:anchor distT="0" distB="0" distL="114300" distR="114300" simplePos="0" relativeHeight="251657216" behindDoc="0" locked="0" layoutInCell="1" allowOverlap="1" wp14:anchorId="6D1E3A30" wp14:editId="2BA440FA">
            <wp:simplePos x="0" y="0"/>
            <wp:positionH relativeFrom="column">
              <wp:posOffset>6790690</wp:posOffset>
            </wp:positionH>
            <wp:positionV relativeFrom="paragraph">
              <wp:posOffset>-769620</wp:posOffset>
            </wp:positionV>
            <wp:extent cx="1406525" cy="688975"/>
            <wp:effectExtent l="0" t="0" r="3175" b="0"/>
            <wp:wrapNone/>
            <wp:docPr id="2054" name="Picture 4" descr="C:\Users\Małgosia\Documents\Dokumenty KPF\GRAFIKA\Logo\IRG SGH logo_czrne_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 descr="C:\Users\Małgosia\Documents\Dokumenty KPF\GRAFIKA\Logo\IRG SGH logo_czrne_bez tł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12DF219" w14:textId="77777777" w:rsidR="00B4577A" w:rsidRPr="00707225" w:rsidRDefault="00B4577A" w:rsidP="00D83172">
      <w:pPr>
        <w:jc w:val="right"/>
        <w:rPr>
          <w:rFonts w:ascii="Myriad Pro" w:hAnsi="Myriad Pro"/>
          <w:color w:val="7F7F7F"/>
          <w:sz w:val="12"/>
          <w:szCs w:val="32"/>
        </w:rPr>
      </w:pPr>
    </w:p>
    <w:p w14:paraId="5081E5EF" w14:textId="77777777" w:rsidR="00327E6B" w:rsidRDefault="00327E6B" w:rsidP="00576DCF">
      <w:pPr>
        <w:shd w:val="clear" w:color="auto" w:fill="224D9B"/>
        <w:tabs>
          <w:tab w:val="left" w:pos="6720"/>
        </w:tabs>
        <w:jc w:val="center"/>
        <w:rPr>
          <w:rFonts w:ascii="Archivo Medium" w:hAnsi="Archivo Medium" w:cs="Segoe UI"/>
          <w:color w:val="FFFFFF"/>
          <w:sz w:val="24"/>
          <w:szCs w:val="28"/>
        </w:rPr>
      </w:pPr>
    </w:p>
    <w:p w14:paraId="7518604A" w14:textId="3F8A68CA" w:rsidR="008804FC" w:rsidRDefault="003F36BC" w:rsidP="00576DCF">
      <w:pPr>
        <w:shd w:val="clear" w:color="auto" w:fill="224D9B"/>
        <w:tabs>
          <w:tab w:val="left" w:pos="6720"/>
        </w:tabs>
        <w:jc w:val="center"/>
        <w:rPr>
          <w:rFonts w:ascii="Archivo Medium" w:hAnsi="Archivo Medium" w:cs="Segoe UI"/>
          <w:b/>
          <w:bCs/>
          <w:color w:val="FFFFFF"/>
          <w:sz w:val="36"/>
          <w:szCs w:val="52"/>
        </w:rPr>
      </w:pPr>
      <w:r>
        <w:rPr>
          <w:rFonts w:ascii="Archivo Medium" w:hAnsi="Archivo Medium" w:cs="Segoe UI"/>
          <w:b/>
          <w:bCs/>
          <w:color w:val="FFFFFF"/>
          <w:sz w:val="36"/>
          <w:szCs w:val="52"/>
        </w:rPr>
        <w:t xml:space="preserve">Obawy inflacyjne </w:t>
      </w:r>
      <w:r w:rsidR="00435EBF">
        <w:rPr>
          <w:rFonts w:ascii="Archivo Medium" w:hAnsi="Archivo Medium" w:cs="Segoe UI"/>
          <w:b/>
          <w:bCs/>
          <w:color w:val="FFFFFF"/>
          <w:sz w:val="36"/>
          <w:szCs w:val="52"/>
        </w:rPr>
        <w:t xml:space="preserve">gospodarstw domowych </w:t>
      </w:r>
      <w:r>
        <w:rPr>
          <w:rFonts w:ascii="Archivo Medium" w:hAnsi="Archivo Medium" w:cs="Segoe UI"/>
          <w:b/>
          <w:bCs/>
          <w:color w:val="FFFFFF"/>
          <w:sz w:val="36"/>
          <w:szCs w:val="52"/>
        </w:rPr>
        <w:t>wystrzeliły</w:t>
      </w:r>
      <w:r w:rsidR="000030E3">
        <w:rPr>
          <w:rFonts w:ascii="Archivo Medium" w:hAnsi="Archivo Medium" w:cs="Segoe UI"/>
          <w:b/>
          <w:bCs/>
          <w:color w:val="FFFFFF"/>
          <w:sz w:val="36"/>
          <w:szCs w:val="52"/>
        </w:rPr>
        <w:t>!</w:t>
      </w:r>
    </w:p>
    <w:p w14:paraId="4D3D7290" w14:textId="63BE08F1" w:rsidR="00435EBF" w:rsidRDefault="000030E3" w:rsidP="00576DCF">
      <w:pPr>
        <w:shd w:val="clear" w:color="auto" w:fill="224D9B"/>
        <w:tabs>
          <w:tab w:val="left" w:pos="6720"/>
        </w:tabs>
        <w:jc w:val="center"/>
        <w:rPr>
          <w:rFonts w:ascii="Archivo Medium" w:hAnsi="Archivo Medium" w:cs="Segoe UI"/>
          <w:b/>
          <w:bCs/>
          <w:color w:val="FFFFFF"/>
          <w:sz w:val="36"/>
          <w:szCs w:val="52"/>
        </w:rPr>
      </w:pPr>
      <w:r>
        <w:rPr>
          <w:rFonts w:ascii="Archivo Medium" w:hAnsi="Archivo Medium" w:cs="Segoe UI"/>
          <w:b/>
          <w:bCs/>
          <w:color w:val="FFFFFF"/>
          <w:sz w:val="36"/>
          <w:szCs w:val="52"/>
        </w:rPr>
        <w:t>S</w:t>
      </w:r>
      <w:r w:rsidR="00435EBF">
        <w:rPr>
          <w:rFonts w:ascii="Archivo Medium" w:hAnsi="Archivo Medium" w:cs="Segoe UI"/>
          <w:b/>
          <w:bCs/>
          <w:color w:val="FFFFFF"/>
          <w:sz w:val="36"/>
          <w:szCs w:val="52"/>
        </w:rPr>
        <w:t>ą najwyższe od ćwierćwiecza</w:t>
      </w:r>
      <w:r w:rsidR="003A4C78">
        <w:rPr>
          <w:rFonts w:ascii="Archivo Medium" w:hAnsi="Archivo Medium" w:cs="Segoe UI"/>
          <w:b/>
          <w:bCs/>
          <w:color w:val="FFFFFF"/>
          <w:sz w:val="36"/>
          <w:szCs w:val="52"/>
        </w:rPr>
        <w:t xml:space="preserve">. </w:t>
      </w:r>
    </w:p>
    <w:p w14:paraId="20BAF9C1" w14:textId="77777777" w:rsidR="00435EBF" w:rsidRPr="00327E6B" w:rsidRDefault="00435EBF" w:rsidP="00576DCF">
      <w:pPr>
        <w:shd w:val="clear" w:color="auto" w:fill="224D9B"/>
        <w:tabs>
          <w:tab w:val="left" w:pos="6720"/>
        </w:tabs>
        <w:jc w:val="center"/>
        <w:rPr>
          <w:rFonts w:ascii="Archivo Medium" w:hAnsi="Archivo Medium" w:cs="Segoe UI"/>
          <w:b/>
          <w:bCs/>
          <w:color w:val="FFFFFF"/>
          <w:sz w:val="36"/>
          <w:szCs w:val="52"/>
        </w:rPr>
      </w:pPr>
    </w:p>
    <w:p w14:paraId="2F4875F6" w14:textId="09E22C85" w:rsidR="00327E6B" w:rsidRDefault="00327E6B" w:rsidP="00576DCF">
      <w:pPr>
        <w:shd w:val="clear" w:color="auto" w:fill="224D9B"/>
        <w:tabs>
          <w:tab w:val="left" w:pos="6720"/>
        </w:tabs>
        <w:jc w:val="center"/>
        <w:rPr>
          <w:rFonts w:ascii="Archivo Medium" w:hAnsi="Archivo Medium" w:cs="Segoe UI"/>
          <w:color w:val="FFFFFF"/>
          <w:sz w:val="24"/>
          <w:szCs w:val="28"/>
        </w:rPr>
      </w:pPr>
    </w:p>
    <w:p w14:paraId="47F3E18F" w14:textId="77777777" w:rsidR="00327E6B" w:rsidRDefault="00327E6B" w:rsidP="00576DCF">
      <w:pPr>
        <w:shd w:val="clear" w:color="auto" w:fill="224D9B"/>
        <w:tabs>
          <w:tab w:val="left" w:pos="6720"/>
        </w:tabs>
        <w:jc w:val="center"/>
        <w:rPr>
          <w:rFonts w:ascii="Archivo Medium" w:hAnsi="Archivo Medium" w:cs="Segoe UI"/>
          <w:color w:val="FFFFFF"/>
          <w:sz w:val="24"/>
          <w:szCs w:val="28"/>
        </w:rPr>
      </w:pPr>
      <w:r w:rsidRPr="00327E6B">
        <w:rPr>
          <w:rFonts w:ascii="Archivo Medium" w:hAnsi="Archivo Medium" w:cs="Segoe UI"/>
          <w:color w:val="FFFFFF"/>
          <w:sz w:val="24"/>
          <w:szCs w:val="28"/>
        </w:rPr>
        <w:t>DR SŁAWOMIR DUDEK</w:t>
      </w:r>
    </w:p>
    <w:p w14:paraId="44D2AF1A" w14:textId="0DD7528E" w:rsidR="00327E6B" w:rsidRDefault="00327E6B" w:rsidP="00576DCF">
      <w:pPr>
        <w:shd w:val="clear" w:color="auto" w:fill="224D9B"/>
        <w:tabs>
          <w:tab w:val="left" w:pos="6720"/>
        </w:tabs>
        <w:jc w:val="center"/>
        <w:rPr>
          <w:rFonts w:ascii="Archivo Medium" w:hAnsi="Archivo Medium" w:cs="Segoe UI"/>
          <w:color w:val="FFFFFF"/>
          <w:sz w:val="24"/>
          <w:szCs w:val="28"/>
        </w:rPr>
      </w:pPr>
      <w:r w:rsidRPr="00327E6B">
        <w:rPr>
          <w:rFonts w:ascii="Archivo Medium" w:hAnsi="Archivo Medium" w:cs="Segoe UI"/>
          <w:color w:val="FFFFFF"/>
          <w:sz w:val="24"/>
          <w:szCs w:val="28"/>
        </w:rPr>
        <w:t>IRG SGH</w:t>
      </w:r>
    </w:p>
    <w:p w14:paraId="1886B82D" w14:textId="0FADB20B" w:rsidR="002B0546" w:rsidRDefault="002B0546" w:rsidP="00576DCF">
      <w:pPr>
        <w:shd w:val="clear" w:color="auto" w:fill="224D9B"/>
        <w:tabs>
          <w:tab w:val="left" w:pos="6720"/>
        </w:tabs>
        <w:jc w:val="center"/>
        <w:rPr>
          <w:rFonts w:ascii="Archivo Medium" w:hAnsi="Archivo Medium" w:cs="Segoe UI"/>
          <w:color w:val="FFFFFF"/>
          <w:sz w:val="24"/>
          <w:szCs w:val="28"/>
        </w:rPr>
      </w:pPr>
    </w:p>
    <w:p w14:paraId="1594044D" w14:textId="56EE5A8D" w:rsidR="002B0546" w:rsidRDefault="002B0546" w:rsidP="00576DCF">
      <w:pPr>
        <w:shd w:val="clear" w:color="auto" w:fill="224D9B"/>
        <w:tabs>
          <w:tab w:val="left" w:pos="6720"/>
        </w:tabs>
        <w:jc w:val="center"/>
        <w:rPr>
          <w:rFonts w:ascii="Archivo Medium" w:hAnsi="Archivo Medium" w:cs="Segoe UI"/>
          <w:color w:val="FFFFFF"/>
          <w:sz w:val="24"/>
          <w:szCs w:val="28"/>
        </w:rPr>
      </w:pPr>
      <w:r>
        <w:rPr>
          <w:rFonts w:ascii="Archivo Medium" w:hAnsi="Archivo Medium" w:cs="Segoe UI"/>
          <w:color w:val="FFFFFF"/>
          <w:sz w:val="24"/>
          <w:szCs w:val="28"/>
        </w:rPr>
        <w:t>Badanie Kondycji Gospodarstw Domowych i rynku Consumer Finance</w:t>
      </w:r>
    </w:p>
    <w:p w14:paraId="21E40161" w14:textId="77777777" w:rsidR="002B0546" w:rsidRDefault="002B0546" w:rsidP="00576DCF">
      <w:pPr>
        <w:shd w:val="clear" w:color="auto" w:fill="224D9B"/>
        <w:tabs>
          <w:tab w:val="left" w:pos="6720"/>
        </w:tabs>
        <w:jc w:val="center"/>
        <w:rPr>
          <w:rFonts w:ascii="Archivo Medium" w:hAnsi="Archivo Medium" w:cs="Segoe UI"/>
          <w:color w:val="FFFFFF"/>
          <w:sz w:val="24"/>
          <w:szCs w:val="28"/>
        </w:rPr>
      </w:pPr>
      <w:r>
        <w:rPr>
          <w:rFonts w:ascii="Archivo Medium" w:hAnsi="Archivo Medium" w:cs="Segoe UI"/>
          <w:color w:val="FFFFFF"/>
          <w:sz w:val="24"/>
          <w:szCs w:val="28"/>
        </w:rPr>
        <w:t>Prowadzone wspólnie przez</w:t>
      </w:r>
    </w:p>
    <w:p w14:paraId="579A9670" w14:textId="25B4BDD9" w:rsidR="002B0546" w:rsidRPr="00327E6B" w:rsidRDefault="002B0546" w:rsidP="00576DCF">
      <w:pPr>
        <w:shd w:val="clear" w:color="auto" w:fill="224D9B"/>
        <w:tabs>
          <w:tab w:val="left" w:pos="6720"/>
        </w:tabs>
        <w:jc w:val="center"/>
        <w:rPr>
          <w:rFonts w:ascii="Archivo Medium" w:hAnsi="Archivo Medium" w:cs="Segoe UI"/>
          <w:color w:val="FFFFFF"/>
          <w:sz w:val="24"/>
          <w:szCs w:val="28"/>
        </w:rPr>
      </w:pPr>
      <w:r>
        <w:rPr>
          <w:rFonts w:ascii="Archivo Medium" w:hAnsi="Archivo Medium" w:cs="Segoe UI"/>
          <w:color w:val="FFFFFF"/>
          <w:sz w:val="24"/>
          <w:szCs w:val="28"/>
        </w:rPr>
        <w:t>Instytuty Rozwoju Gospodarczego SGH i Związek Przedsiębiorstw Finansowych</w:t>
      </w:r>
    </w:p>
    <w:p w14:paraId="10AFDD02" w14:textId="77777777" w:rsidR="00327E6B" w:rsidRPr="00327E6B" w:rsidRDefault="00327E6B" w:rsidP="00576DCF">
      <w:pPr>
        <w:shd w:val="clear" w:color="auto" w:fill="224D9B"/>
        <w:tabs>
          <w:tab w:val="left" w:pos="6720"/>
        </w:tabs>
        <w:jc w:val="center"/>
        <w:rPr>
          <w:rFonts w:ascii="Archivo Medium" w:hAnsi="Archivo Medium" w:cs="Segoe UI"/>
          <w:caps/>
          <w:color w:val="FFFFFF"/>
          <w:sz w:val="24"/>
          <w:szCs w:val="28"/>
        </w:rPr>
      </w:pPr>
    </w:p>
    <w:p w14:paraId="56AF0F1C" w14:textId="77777777" w:rsidR="00E626C0" w:rsidRPr="00327E6B" w:rsidRDefault="00E626C0" w:rsidP="00576DCF">
      <w:pPr>
        <w:shd w:val="clear" w:color="auto" w:fill="224D9B"/>
        <w:tabs>
          <w:tab w:val="left" w:pos="6720"/>
        </w:tabs>
        <w:jc w:val="center"/>
        <w:rPr>
          <w:rFonts w:ascii="Archivo Medium" w:hAnsi="Archivo Medium" w:cs="Segoe UI"/>
          <w:caps/>
          <w:color w:val="FFFFFF"/>
          <w:sz w:val="8"/>
          <w:szCs w:val="8"/>
        </w:rPr>
      </w:pPr>
    </w:p>
    <w:p w14:paraId="14E3921F" w14:textId="77777777" w:rsidR="00E626C0" w:rsidRPr="00327E6B" w:rsidRDefault="00E626C0" w:rsidP="00831856">
      <w:pPr>
        <w:spacing w:line="276" w:lineRule="auto"/>
        <w:jc w:val="both"/>
        <w:rPr>
          <w:rFonts w:ascii="Roboto Light" w:hAnsi="Roboto Light"/>
          <w:iCs/>
          <w:color w:val="auto"/>
          <w:sz w:val="18"/>
          <w:szCs w:val="19"/>
        </w:rPr>
      </w:pPr>
    </w:p>
    <w:p w14:paraId="34917E3E" w14:textId="3C9709BD" w:rsidR="002E3235" w:rsidRDefault="002E3235" w:rsidP="002E3235">
      <w:pPr>
        <w:spacing w:line="276" w:lineRule="auto"/>
        <w:rPr>
          <w:rFonts w:ascii="Roboto Light" w:hAnsi="Roboto Light"/>
          <w:iCs/>
          <w:color w:val="auto"/>
          <w:spacing w:val="-2"/>
          <w:sz w:val="18"/>
          <w:szCs w:val="19"/>
        </w:rPr>
      </w:pPr>
    </w:p>
    <w:p w14:paraId="095D6E22" w14:textId="0D76E364" w:rsidR="0084376C" w:rsidRPr="002B0546" w:rsidRDefault="0084376C" w:rsidP="002E3235">
      <w:pPr>
        <w:spacing w:line="276" w:lineRule="auto"/>
        <w:rPr>
          <w:rFonts w:ascii="Arial" w:hAnsi="Arial"/>
          <w:iCs/>
          <w:color w:val="auto"/>
          <w:spacing w:val="-2"/>
          <w:sz w:val="22"/>
          <w:szCs w:val="22"/>
          <w:u w:val="single"/>
        </w:rPr>
      </w:pPr>
      <w:bookmarkStart w:id="1" w:name="_Hlk87897155"/>
      <w:r w:rsidRPr="002B0546">
        <w:rPr>
          <w:rFonts w:ascii="Arial" w:hAnsi="Arial"/>
          <w:iCs/>
          <w:color w:val="auto"/>
          <w:spacing w:val="-2"/>
          <w:sz w:val="22"/>
          <w:szCs w:val="22"/>
          <w:u w:val="single"/>
        </w:rPr>
        <w:t xml:space="preserve">Podstawowe </w:t>
      </w:r>
      <w:r w:rsidR="007136CC" w:rsidRPr="002B0546">
        <w:rPr>
          <w:rFonts w:ascii="Arial" w:hAnsi="Arial"/>
          <w:iCs/>
          <w:color w:val="auto"/>
          <w:spacing w:val="-2"/>
          <w:sz w:val="22"/>
          <w:szCs w:val="22"/>
          <w:u w:val="single"/>
        </w:rPr>
        <w:t>wnioski</w:t>
      </w:r>
      <w:r w:rsidR="00FC575C" w:rsidRPr="002B0546">
        <w:rPr>
          <w:rFonts w:ascii="Arial" w:hAnsi="Arial"/>
          <w:iCs/>
          <w:color w:val="auto"/>
          <w:spacing w:val="-2"/>
          <w:sz w:val="22"/>
          <w:szCs w:val="22"/>
          <w:u w:val="single"/>
        </w:rPr>
        <w:t>:</w:t>
      </w:r>
    </w:p>
    <w:p w14:paraId="791D8D4A" w14:textId="7DC259F9" w:rsidR="0084376C" w:rsidRPr="002B0546" w:rsidRDefault="0084376C" w:rsidP="002E3235">
      <w:pPr>
        <w:spacing w:line="276" w:lineRule="auto"/>
        <w:rPr>
          <w:rFonts w:ascii="Arial" w:hAnsi="Arial"/>
          <w:iCs/>
          <w:color w:val="auto"/>
          <w:spacing w:val="-2"/>
          <w:sz w:val="22"/>
          <w:szCs w:val="22"/>
        </w:rPr>
      </w:pPr>
    </w:p>
    <w:p w14:paraId="24029CAC" w14:textId="057AFC8C" w:rsidR="0084376C" w:rsidRPr="002B0546" w:rsidRDefault="00FC575C" w:rsidP="005C16DE">
      <w:pPr>
        <w:pStyle w:val="Akapitzlist"/>
        <w:numPr>
          <w:ilvl w:val="0"/>
          <w:numId w:val="29"/>
        </w:numPr>
        <w:spacing w:line="276" w:lineRule="auto"/>
        <w:rPr>
          <w:rFonts w:ascii="Arial" w:hAnsi="Arial"/>
          <w:iCs/>
          <w:color w:val="auto"/>
          <w:spacing w:val="-2"/>
          <w:sz w:val="22"/>
          <w:szCs w:val="22"/>
        </w:rPr>
      </w:pPr>
      <w:r w:rsidRPr="002B0546">
        <w:rPr>
          <w:rFonts w:ascii="Arial" w:hAnsi="Arial"/>
          <w:b/>
          <w:bCs/>
          <w:iCs/>
          <w:color w:val="auto"/>
          <w:spacing w:val="-2"/>
          <w:sz w:val="22"/>
          <w:szCs w:val="22"/>
        </w:rPr>
        <w:t>Obawy inflacyjne gospodarstw domowych wystrzeliły! Są najwyższe od ćwierćwiecza.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 Ponad 76%</w:t>
      </w:r>
      <w:r w:rsidR="002B0546" w:rsidRPr="002B0546">
        <w:rPr>
          <w:rStyle w:val="Odwoanieprzypisudolnego"/>
          <w:rFonts w:ascii="Arial" w:hAnsi="Arial"/>
          <w:iCs/>
          <w:color w:val="auto"/>
          <w:spacing w:val="-2"/>
          <w:sz w:val="22"/>
          <w:szCs w:val="22"/>
        </w:rPr>
        <w:footnoteReference w:id="1"/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 gospodarstw domowych ocenia, że obecne koszty utrzymania w skali kraju są „wyraźnie dużo wyższe” lub „znacznie wyższe”</w:t>
      </w:r>
      <w:r w:rsidR="005F40AF">
        <w:rPr>
          <w:rFonts w:ascii="Arial" w:hAnsi="Arial"/>
          <w:iCs/>
          <w:color w:val="auto"/>
          <w:spacing w:val="-2"/>
          <w:sz w:val="22"/>
          <w:szCs w:val="22"/>
        </w:rPr>
        <w:t xml:space="preserve"> (wykres 1)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.</w:t>
      </w:r>
    </w:p>
    <w:p w14:paraId="6F41B0F3" w14:textId="2EF8515F" w:rsidR="00FC575C" w:rsidRPr="002B0546" w:rsidRDefault="00FC575C" w:rsidP="005C16DE">
      <w:pPr>
        <w:pStyle w:val="Akapitzlist"/>
        <w:numPr>
          <w:ilvl w:val="0"/>
          <w:numId w:val="29"/>
        </w:numPr>
        <w:spacing w:line="276" w:lineRule="auto"/>
        <w:rPr>
          <w:rFonts w:ascii="Arial" w:hAnsi="Arial"/>
          <w:iCs/>
          <w:color w:val="auto"/>
          <w:spacing w:val="-2"/>
          <w:sz w:val="22"/>
          <w:szCs w:val="22"/>
        </w:rPr>
      </w:pP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Ale przy spojrzeniu już na własny budżet, aż 86% gospodarstw domowych odczuwa wzrost cen bardziej niż zwykle</w:t>
      </w:r>
      <w:r w:rsidR="005F40AF">
        <w:rPr>
          <w:rFonts w:ascii="Arial" w:hAnsi="Arial"/>
          <w:iCs/>
          <w:color w:val="auto"/>
          <w:spacing w:val="-2"/>
          <w:sz w:val="22"/>
          <w:szCs w:val="22"/>
        </w:rPr>
        <w:t xml:space="preserve"> (wykres 2)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.</w:t>
      </w:r>
    </w:p>
    <w:p w14:paraId="09B0AE1E" w14:textId="7E633C2E" w:rsidR="00FC575C" w:rsidRPr="002B0546" w:rsidRDefault="00FC575C" w:rsidP="005C16DE">
      <w:pPr>
        <w:pStyle w:val="Akapitzlist"/>
        <w:numPr>
          <w:ilvl w:val="0"/>
          <w:numId w:val="29"/>
        </w:numPr>
        <w:spacing w:line="276" w:lineRule="auto"/>
        <w:rPr>
          <w:rFonts w:ascii="Arial" w:hAnsi="Arial"/>
          <w:iCs/>
          <w:color w:val="auto"/>
          <w:spacing w:val="-2"/>
          <w:sz w:val="22"/>
          <w:szCs w:val="22"/>
        </w:rPr>
      </w:pP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Najsilniej wzrost cen </w:t>
      </w:r>
      <w:r w:rsidR="003A4C78"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gospodarstwa domowe 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odczuwa</w:t>
      </w:r>
      <w:r w:rsidR="003A4C78" w:rsidRPr="002B0546">
        <w:rPr>
          <w:rFonts w:ascii="Arial" w:hAnsi="Arial"/>
          <w:iCs/>
          <w:color w:val="auto"/>
          <w:spacing w:val="-2"/>
          <w:sz w:val="22"/>
          <w:szCs w:val="22"/>
        </w:rPr>
        <w:t>ją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 w wydatkach na paliwo, żywność i rachunki za gaz i energię</w:t>
      </w:r>
      <w:r w:rsidR="005F40AF">
        <w:rPr>
          <w:rFonts w:ascii="Arial" w:hAnsi="Arial"/>
          <w:iCs/>
          <w:color w:val="auto"/>
          <w:spacing w:val="-2"/>
          <w:sz w:val="22"/>
          <w:szCs w:val="22"/>
        </w:rPr>
        <w:t xml:space="preserve"> (wykres 3)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.</w:t>
      </w:r>
    </w:p>
    <w:p w14:paraId="58F6F289" w14:textId="51EFFA19" w:rsidR="00FC575C" w:rsidRPr="002B0546" w:rsidRDefault="003A4C78" w:rsidP="005C16DE">
      <w:pPr>
        <w:pStyle w:val="Akapitzlist"/>
        <w:numPr>
          <w:ilvl w:val="0"/>
          <w:numId w:val="29"/>
        </w:numPr>
        <w:spacing w:line="276" w:lineRule="auto"/>
        <w:rPr>
          <w:rFonts w:ascii="Arial" w:hAnsi="Arial"/>
          <w:iCs/>
          <w:color w:val="auto"/>
          <w:spacing w:val="-2"/>
          <w:sz w:val="22"/>
          <w:szCs w:val="22"/>
        </w:rPr>
      </w:pPr>
      <w:r w:rsidRPr="002B0546">
        <w:rPr>
          <w:rFonts w:ascii="Arial" w:hAnsi="Arial"/>
          <w:b/>
          <w:bCs/>
          <w:iCs/>
          <w:color w:val="auto"/>
          <w:spacing w:val="-2"/>
          <w:sz w:val="22"/>
          <w:szCs w:val="22"/>
        </w:rPr>
        <w:t>Ponad 88% respondentów oczekuje, że w najbliższych 12-tu miesiącach „wzrost cen będzie szybszy” lub „ceny wzrastać będą tak samo” jak obecnie</w:t>
      </w:r>
      <w:r w:rsidR="005F40AF">
        <w:rPr>
          <w:rFonts w:ascii="Arial" w:hAnsi="Arial"/>
          <w:b/>
          <w:bCs/>
          <w:iCs/>
          <w:color w:val="auto"/>
          <w:spacing w:val="-2"/>
          <w:sz w:val="22"/>
          <w:szCs w:val="22"/>
        </w:rPr>
        <w:t xml:space="preserve">. </w:t>
      </w:r>
      <w:r w:rsidR="005F40AF" w:rsidRPr="005F40AF">
        <w:rPr>
          <w:rFonts w:ascii="Arial" w:hAnsi="Arial"/>
          <w:iCs/>
          <w:color w:val="auto"/>
          <w:spacing w:val="-2"/>
          <w:sz w:val="22"/>
          <w:szCs w:val="22"/>
        </w:rPr>
        <w:t>(wykres 4)</w:t>
      </w:r>
      <w:r w:rsidR="005F40AF">
        <w:rPr>
          <w:rFonts w:ascii="Arial" w:hAnsi="Arial"/>
          <w:b/>
          <w:bCs/>
          <w:iCs/>
          <w:color w:val="auto"/>
          <w:spacing w:val="-2"/>
          <w:sz w:val="22"/>
          <w:szCs w:val="22"/>
        </w:rPr>
        <w:t xml:space="preserve"> 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Jest to najwyższy poziom tego odsetka od 10 lat. W tym przyspieszania inflacji oczekuje 57% respondentów (wobec 47% przed kwartałem).</w:t>
      </w:r>
    </w:p>
    <w:p w14:paraId="0B44F4CE" w14:textId="21B1C9C3" w:rsidR="003A4C78" w:rsidRPr="002B0546" w:rsidRDefault="003A4C78" w:rsidP="005C16DE">
      <w:pPr>
        <w:pStyle w:val="Akapitzlist"/>
        <w:numPr>
          <w:ilvl w:val="0"/>
          <w:numId w:val="29"/>
        </w:numPr>
        <w:spacing w:line="276" w:lineRule="auto"/>
        <w:rPr>
          <w:rFonts w:ascii="Arial" w:hAnsi="Arial"/>
          <w:iCs/>
          <w:color w:val="auto"/>
          <w:spacing w:val="-2"/>
          <w:sz w:val="22"/>
          <w:szCs w:val="22"/>
        </w:rPr>
      </w:pPr>
      <w:r w:rsidRPr="00782B3C">
        <w:rPr>
          <w:rFonts w:ascii="Arial" w:hAnsi="Arial"/>
          <w:b/>
          <w:bCs/>
          <w:iCs/>
          <w:color w:val="auto"/>
          <w:spacing w:val="-2"/>
          <w:sz w:val="22"/>
          <w:szCs w:val="22"/>
        </w:rPr>
        <w:t>Obawy inflacyjne w dużym zakresie wpłynęły na gwałtowne i szokowe pogorszenie ocen w zakresie własnej sytuacji finansowej</w:t>
      </w:r>
      <w:r w:rsidR="002B0546" w:rsidRPr="00782B3C">
        <w:rPr>
          <w:rFonts w:ascii="Arial" w:hAnsi="Arial"/>
          <w:b/>
          <w:bCs/>
          <w:iCs/>
          <w:color w:val="auto"/>
          <w:spacing w:val="-2"/>
          <w:sz w:val="22"/>
          <w:szCs w:val="22"/>
        </w:rPr>
        <w:t xml:space="preserve"> gospodarstw domowych</w:t>
      </w:r>
      <w:r w:rsidRPr="00782B3C">
        <w:rPr>
          <w:rFonts w:ascii="Arial" w:hAnsi="Arial"/>
          <w:b/>
          <w:bCs/>
          <w:iCs/>
          <w:color w:val="auto"/>
          <w:spacing w:val="-2"/>
          <w:sz w:val="22"/>
          <w:szCs w:val="22"/>
        </w:rPr>
        <w:t>.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 Do najniższego poziomu od </w:t>
      </w:r>
      <w:r w:rsidR="005F40AF">
        <w:rPr>
          <w:rFonts w:ascii="Arial" w:hAnsi="Arial"/>
          <w:iCs/>
          <w:color w:val="auto"/>
          <w:spacing w:val="-2"/>
          <w:sz w:val="22"/>
          <w:szCs w:val="22"/>
        </w:rPr>
        <w:t>2012 roku (wykres 5)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. To jest ogromne zaskoczenie w świetle niskiego bezrobocia, silnego wzrostu gospodarczego. </w:t>
      </w:r>
      <w:r w:rsidRPr="00782B3C">
        <w:rPr>
          <w:rFonts w:ascii="Arial" w:hAnsi="Arial"/>
          <w:b/>
          <w:bCs/>
          <w:iCs/>
          <w:color w:val="auto"/>
          <w:spacing w:val="-2"/>
          <w:sz w:val="22"/>
          <w:szCs w:val="22"/>
        </w:rPr>
        <w:t>Tąpnięcie nastrojów w tym obszarze o ponad 15 pp. w jednym kwartale</w:t>
      </w:r>
      <w:r w:rsidR="00782B3C" w:rsidRPr="00782B3C">
        <w:rPr>
          <w:rFonts w:ascii="Arial" w:hAnsi="Arial"/>
          <w:b/>
          <w:bCs/>
          <w:iCs/>
          <w:color w:val="auto"/>
          <w:spacing w:val="-2"/>
          <w:sz w:val="22"/>
          <w:szCs w:val="22"/>
        </w:rPr>
        <w:t>,</w:t>
      </w:r>
      <w:r w:rsidRPr="00782B3C">
        <w:rPr>
          <w:rFonts w:ascii="Arial" w:hAnsi="Arial"/>
          <w:b/>
          <w:bCs/>
          <w:iCs/>
          <w:color w:val="auto"/>
          <w:spacing w:val="-2"/>
          <w:sz w:val="22"/>
          <w:szCs w:val="22"/>
        </w:rPr>
        <w:t xml:space="preserve"> to z wyjątkiem szoku pandemicznego</w:t>
      </w:r>
      <w:r w:rsidR="00782B3C" w:rsidRPr="00782B3C">
        <w:rPr>
          <w:rFonts w:ascii="Arial" w:hAnsi="Arial"/>
          <w:b/>
          <w:bCs/>
          <w:iCs/>
          <w:color w:val="auto"/>
          <w:spacing w:val="-2"/>
          <w:sz w:val="22"/>
          <w:szCs w:val="22"/>
        </w:rPr>
        <w:t>,</w:t>
      </w:r>
      <w:r w:rsidRPr="00782B3C">
        <w:rPr>
          <w:rFonts w:ascii="Arial" w:hAnsi="Arial"/>
          <w:b/>
          <w:bCs/>
          <w:iCs/>
          <w:color w:val="auto"/>
          <w:spacing w:val="-2"/>
          <w:sz w:val="22"/>
          <w:szCs w:val="22"/>
        </w:rPr>
        <w:t xml:space="preserve"> rekordowy spadek.</w:t>
      </w:r>
    </w:p>
    <w:p w14:paraId="7DE84703" w14:textId="1E3AFB5C" w:rsidR="003A4C78" w:rsidRPr="002B0546" w:rsidRDefault="003A4C78" w:rsidP="005C16DE">
      <w:pPr>
        <w:pStyle w:val="Akapitzlist"/>
        <w:numPr>
          <w:ilvl w:val="0"/>
          <w:numId w:val="29"/>
        </w:numPr>
        <w:spacing w:line="276" w:lineRule="auto"/>
        <w:rPr>
          <w:rFonts w:ascii="Arial" w:hAnsi="Arial"/>
          <w:iCs/>
          <w:color w:val="auto"/>
          <w:spacing w:val="-2"/>
          <w:sz w:val="22"/>
          <w:szCs w:val="22"/>
        </w:rPr>
      </w:pP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To pokazuje powagę sytuacji. Narracja władz monetarnych i rządu, że rzekomo inflacja nie jest groźna bo rosną wynagrodzenia nie przekonała społeczeństwa i jest fałszywa.</w:t>
      </w:r>
    </w:p>
    <w:p w14:paraId="38545659" w14:textId="295E48A4" w:rsidR="003C164A" w:rsidRPr="00782B3C" w:rsidRDefault="003A4C78" w:rsidP="00B10DDC">
      <w:pPr>
        <w:pStyle w:val="Akapitzlist"/>
        <w:numPr>
          <w:ilvl w:val="0"/>
          <w:numId w:val="29"/>
        </w:numPr>
        <w:spacing w:line="276" w:lineRule="auto"/>
        <w:rPr>
          <w:rFonts w:ascii="Arial" w:hAnsi="Arial"/>
          <w:iCs/>
          <w:color w:val="auto"/>
          <w:spacing w:val="-2"/>
          <w:sz w:val="22"/>
          <w:szCs w:val="22"/>
        </w:rPr>
      </w:pPr>
      <w:r w:rsidRPr="00782B3C">
        <w:rPr>
          <w:rFonts w:ascii="Arial" w:hAnsi="Arial"/>
          <w:b/>
          <w:bCs/>
          <w:iCs/>
          <w:color w:val="FF0000"/>
          <w:spacing w:val="-2"/>
          <w:sz w:val="22"/>
          <w:szCs w:val="22"/>
        </w:rPr>
        <w:t xml:space="preserve">Dość, że </w:t>
      </w:r>
      <w:r w:rsidR="00782B3C" w:rsidRPr="00782B3C">
        <w:rPr>
          <w:rFonts w:ascii="Arial" w:hAnsi="Arial"/>
          <w:b/>
          <w:bCs/>
          <w:iCs/>
          <w:color w:val="FF0000"/>
          <w:spacing w:val="-2"/>
          <w:sz w:val="22"/>
          <w:szCs w:val="22"/>
        </w:rPr>
        <w:t xml:space="preserve">inflacja jest w trendzie wzrostowym i maksimum jeszcze przed nami. Dość, że jesteśmy opóźnieni w cyklu podwyżek. Dość, że </w:t>
      </w:r>
      <w:r w:rsidRPr="00782B3C">
        <w:rPr>
          <w:rFonts w:ascii="Arial" w:hAnsi="Arial"/>
          <w:b/>
          <w:bCs/>
          <w:iCs/>
          <w:color w:val="FF0000"/>
          <w:spacing w:val="-2"/>
          <w:sz w:val="22"/>
          <w:szCs w:val="22"/>
        </w:rPr>
        <w:t>oczekiwania inflacyjne oderwały się od stabilnych poziomów to jeszcze runęły nastroje ekonomiczne gospodarstw domowych. To jest mieszanka wybuchowa.</w:t>
      </w:r>
    </w:p>
    <w:p w14:paraId="454EA08E" w14:textId="74725175" w:rsidR="0084376C" w:rsidRPr="002B0546" w:rsidRDefault="0084376C" w:rsidP="002E3235">
      <w:pPr>
        <w:spacing w:line="276" w:lineRule="auto"/>
        <w:rPr>
          <w:rFonts w:ascii="Arial" w:hAnsi="Arial"/>
          <w:iCs/>
          <w:color w:val="auto"/>
          <w:spacing w:val="-2"/>
          <w:sz w:val="16"/>
          <w:szCs w:val="18"/>
        </w:rPr>
      </w:pPr>
    </w:p>
    <w:p w14:paraId="198B120E" w14:textId="039B86C1" w:rsidR="003A4C78" w:rsidRPr="002B0546" w:rsidRDefault="003A4C78" w:rsidP="003A4C78">
      <w:pPr>
        <w:spacing w:line="276" w:lineRule="auto"/>
        <w:jc w:val="both"/>
        <w:rPr>
          <w:rFonts w:ascii="Arial" w:hAnsi="Arial"/>
          <w:iCs/>
          <w:color w:val="auto"/>
          <w:spacing w:val="-2"/>
          <w:sz w:val="22"/>
          <w:szCs w:val="22"/>
        </w:rPr>
      </w:pP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W bieżącym badaniu istotnie zwiększył się odsetek gospodarstw domowych oceniających, że obecne koszty utrzymania w skali kraju są „wyraźnie dużo wyższe” lub „znacznie wyższe” w porównaniu do sytuacji sprzed roku. Obecnie jest to pond 76% respondentów. Wskaźnik ten osiągnął historyczne maksimum od początku prowadzenia badania, tj. od 1996 roku, czyli mamy rekord nieobserwowany od ćwierćwiecza</w:t>
      </w:r>
      <w:r w:rsidR="005F40AF">
        <w:rPr>
          <w:rFonts w:ascii="Arial" w:hAnsi="Arial"/>
          <w:iCs/>
          <w:color w:val="auto"/>
          <w:spacing w:val="-2"/>
          <w:sz w:val="22"/>
          <w:szCs w:val="22"/>
        </w:rPr>
        <w:t xml:space="preserve"> (wykres 1)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. Tego nie można bagatelizować.</w:t>
      </w:r>
      <w:r w:rsidR="005F40AF">
        <w:rPr>
          <w:rFonts w:ascii="Arial" w:hAnsi="Arial"/>
          <w:iCs/>
          <w:color w:val="auto"/>
          <w:spacing w:val="-2"/>
          <w:sz w:val="22"/>
          <w:szCs w:val="22"/>
        </w:rPr>
        <w:t xml:space="preserve"> Odczucia społeczeństwa, percepcja inflacji to jest czynnik zapalny, który może uruchomić spiralę oczekiwań inflacyjnych.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 Co również istotne w największym stopniu przybyło skrajnych pesymistów, czyli tych którzy wskazali wariant na skali ocen najbardziej pesymistyczny w kontekście cen, tj. „wyraźnie dużo wyższe</w:t>
      </w:r>
      <w:r w:rsidR="00782B3C">
        <w:rPr>
          <w:rFonts w:ascii="Arial" w:hAnsi="Arial"/>
          <w:iCs/>
          <w:color w:val="auto"/>
          <w:spacing w:val="-2"/>
          <w:sz w:val="22"/>
          <w:szCs w:val="22"/>
        </w:rPr>
        <w:t>”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. Takich respondentów jest obecnie 43%, podczas gdy przed rokiem było to 20%, a historyczne maksimum sięgało do 30%. Na drugim krańcu opinii, jedynie nieco ponad 1% uważa, że koszty utrzymania w Polsce spadły, a 5%, że są zbliżone do tych sprzed roku. Wariant umiarkowanego wzrostu, tj. akceptowalnego poziomu inflacji wskazało ok. 17% respondentów.</w:t>
      </w:r>
    </w:p>
    <w:p w14:paraId="07406F84" w14:textId="77777777" w:rsidR="003A4C78" w:rsidRPr="002B0546" w:rsidRDefault="003A4C78" w:rsidP="003A4C78">
      <w:pPr>
        <w:spacing w:line="276" w:lineRule="auto"/>
        <w:jc w:val="both"/>
        <w:rPr>
          <w:rFonts w:ascii="Arial" w:hAnsi="Arial"/>
          <w:iCs/>
          <w:color w:val="auto"/>
          <w:spacing w:val="-2"/>
          <w:sz w:val="22"/>
          <w:szCs w:val="22"/>
        </w:rPr>
      </w:pPr>
    </w:p>
    <w:p w14:paraId="4E02D8EB" w14:textId="734CDDFF" w:rsidR="003A4C78" w:rsidRPr="002B0546" w:rsidRDefault="003A4C78" w:rsidP="003A4C78">
      <w:pPr>
        <w:spacing w:line="276" w:lineRule="auto"/>
        <w:jc w:val="both"/>
        <w:rPr>
          <w:rFonts w:ascii="Arial" w:hAnsi="Arial"/>
          <w:iCs/>
          <w:color w:val="auto"/>
          <w:spacing w:val="-2"/>
          <w:sz w:val="22"/>
          <w:szCs w:val="22"/>
        </w:rPr>
      </w:pP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W bieżącej edycji badania poddaliśmy też dodatkowo diagnozie odczucia względem własnego budżetu gospodarstwa domowego: „Czy osobiście odczuwacie Państwo wzrost cen bardziej niż zwykle w swoich wydatkach, w swoim budżecie domowym?”. O Aż 86% gospodarstw domowych odczuwa wzrost cen bardziej niż zwykle, 9,2% nie odczuwa, a ok. 5% wskazało wariant trudno powiedzieć</w:t>
      </w:r>
      <w:r w:rsidR="005F40AF">
        <w:rPr>
          <w:rFonts w:ascii="Arial" w:hAnsi="Arial"/>
          <w:iCs/>
          <w:color w:val="auto"/>
          <w:spacing w:val="-2"/>
          <w:sz w:val="22"/>
          <w:szCs w:val="22"/>
        </w:rPr>
        <w:t xml:space="preserve"> (wykres 2)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.</w:t>
      </w:r>
    </w:p>
    <w:p w14:paraId="4F015BF8" w14:textId="02322A51" w:rsidR="003A4C78" w:rsidRPr="002B0546" w:rsidRDefault="003A4C78" w:rsidP="003A4C78">
      <w:pPr>
        <w:spacing w:line="276" w:lineRule="auto"/>
        <w:jc w:val="both"/>
        <w:rPr>
          <w:rFonts w:ascii="Arial" w:hAnsi="Arial"/>
          <w:iCs/>
          <w:color w:val="auto"/>
          <w:spacing w:val="-2"/>
          <w:sz w:val="22"/>
          <w:szCs w:val="22"/>
        </w:rPr>
      </w:pPr>
    </w:p>
    <w:p w14:paraId="3841EB6B" w14:textId="520C9CD5" w:rsidR="003A4C78" w:rsidRDefault="003A4C78" w:rsidP="003A4C78">
      <w:pPr>
        <w:spacing w:line="276" w:lineRule="auto"/>
        <w:jc w:val="both"/>
        <w:rPr>
          <w:rFonts w:ascii="Arial" w:hAnsi="Arial"/>
          <w:iCs/>
          <w:color w:val="auto"/>
          <w:spacing w:val="-2"/>
          <w:sz w:val="22"/>
          <w:szCs w:val="22"/>
        </w:rPr>
      </w:pP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Gospodarstwa domowe najczęściej wskazały wydatki na „żywność i napoje”</w:t>
      </w:r>
      <w:r w:rsidR="005F40AF">
        <w:rPr>
          <w:rFonts w:ascii="Arial" w:hAnsi="Arial"/>
          <w:iCs/>
          <w:color w:val="auto"/>
          <w:spacing w:val="-2"/>
          <w:sz w:val="22"/>
          <w:szCs w:val="22"/>
        </w:rPr>
        <w:t xml:space="preserve"> (wykres 3)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, gdzie wzrost cen jest odczuwalny bardziej niż zwykle (99,5%, w tym 37% silnie</w:t>
      </w:r>
      <w:r w:rsidR="00782B3C">
        <w:rPr>
          <w:rFonts w:ascii="Arial" w:hAnsi="Arial"/>
          <w:iCs/>
          <w:color w:val="auto"/>
          <w:spacing w:val="-2"/>
          <w:sz w:val="22"/>
          <w:szCs w:val="22"/>
        </w:rPr>
        <w:t>, tj. „3” w skali od 1 do 3 pkt.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). Na drugim miejscu są rachunki za gaz, prąd, ogrzewanie (98%, w tym 48% silnie). Trzecia pozycja to paliwo (92%, w tym 65% silnie odczuwa ten wzrost cen). Wydatki na paliwo są więc najsilniej odczuwalnym wydatkiem dotkniętym inflacją, średnia siła odczuwania w skali od 1 do 3, to 2,7 pkt. Drugie miejsce to rachunki za gaz i energię, 2,4 pkt., a żywność mimo, że wskazywana najczęściej to siłą odczuwania 2,2 pkt. Czwarte miejsce to koszty wywozu śmieci (89% wskazań, silnie 23%, siła: 2.2 pkt.). Piąte wydatki na „leki i zdrowie”, (87% odczuwa tu wzrost cen, w tym 11% silnie). Kolejne miejsca to „wyposażenie mieszkania” i „odzież i obuwie” – ok. 80%. Ostatni trójka w tym rankingu to „gastronomia, hotele” i „sport, rozrywka, kultura”. Przy czym wydatki na usługi HORECA mają relatywnie dużą siłę odczuwania (1,9 pkt. na 3), ale są rzadziej wskazywane bo nie wszyscy korzystają z tych usług. Ostatnie miejsce zajmują wydatki na alkohol i papierosy, choć nawet tutaj 59% respondentów odczuwa wzrost cen bardziej niż zwykle. Widać, że inflacja rozlała się na wszystkie wydatki i jest silnie odczuwana przez gospodarstwa domowe.</w:t>
      </w:r>
    </w:p>
    <w:p w14:paraId="48E98599" w14:textId="41B71FD7" w:rsidR="002B748A" w:rsidRDefault="002B748A" w:rsidP="003A4C78">
      <w:pPr>
        <w:spacing w:line="276" w:lineRule="auto"/>
        <w:jc w:val="both"/>
        <w:rPr>
          <w:rFonts w:ascii="Arial" w:hAnsi="Arial"/>
          <w:iCs/>
          <w:color w:val="auto"/>
          <w:spacing w:val="-2"/>
          <w:sz w:val="22"/>
          <w:szCs w:val="22"/>
        </w:rPr>
      </w:pPr>
    </w:p>
    <w:p w14:paraId="156D68D9" w14:textId="24A34B47" w:rsidR="002B748A" w:rsidRPr="002B0546" w:rsidRDefault="002B748A" w:rsidP="002B748A">
      <w:pPr>
        <w:spacing w:line="276" w:lineRule="auto"/>
        <w:jc w:val="both"/>
        <w:rPr>
          <w:rFonts w:ascii="Arial" w:hAnsi="Arial"/>
          <w:iCs/>
          <w:color w:val="auto"/>
          <w:spacing w:val="-2"/>
          <w:sz w:val="22"/>
          <w:szCs w:val="22"/>
        </w:rPr>
      </w:pPr>
      <w:r>
        <w:rPr>
          <w:rFonts w:ascii="Arial" w:hAnsi="Arial"/>
          <w:iCs/>
          <w:color w:val="auto"/>
          <w:spacing w:val="-2"/>
          <w:sz w:val="22"/>
          <w:szCs w:val="22"/>
        </w:rPr>
        <w:t xml:space="preserve">Rosną też oczekiwania inflacyjne na przyszłość. 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Według obecnego badania ponad 88% respondentów oczekuje, że w najbliższych 12-tu miesiącach „wzrost cen będzie szybszy” lub „ceny wzrastać będą tak samo” jak obecnie</w:t>
      </w:r>
      <w:r>
        <w:rPr>
          <w:rFonts w:ascii="Arial" w:hAnsi="Arial"/>
          <w:iCs/>
          <w:color w:val="auto"/>
          <w:spacing w:val="-2"/>
          <w:sz w:val="22"/>
          <w:szCs w:val="22"/>
        </w:rPr>
        <w:t xml:space="preserve"> (wykres 4)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. Jest to najwyższy poziom tego odsetka od 10 lat. W tym przyspieszania inflacji oczekuje 57% respondentów (wobec 47% przed kwartałem). Tylko 2,5% oczekuje brak wzrostu cen. A jedynie 9% oczekuje wolniejszej inflacji (wobec 12% przed kwartałem).</w:t>
      </w:r>
    </w:p>
    <w:p w14:paraId="294D4C1B" w14:textId="215C19C9" w:rsidR="002B748A" w:rsidRPr="002B0546" w:rsidRDefault="002B748A" w:rsidP="002B748A">
      <w:pPr>
        <w:spacing w:line="276" w:lineRule="auto"/>
        <w:jc w:val="both"/>
        <w:rPr>
          <w:rFonts w:ascii="Arial" w:hAnsi="Arial"/>
          <w:iCs/>
          <w:color w:val="auto"/>
          <w:spacing w:val="-2"/>
          <w:sz w:val="22"/>
          <w:szCs w:val="22"/>
        </w:rPr>
      </w:pPr>
      <w:r>
        <w:rPr>
          <w:rFonts w:ascii="Roboto Light" w:hAnsi="Roboto Light"/>
          <w:iCs/>
          <w:color w:val="auto"/>
          <w:spacing w:val="-2"/>
          <w:sz w:val="24"/>
          <w:szCs w:val="24"/>
        </w:rPr>
        <w:br w:type="page"/>
      </w:r>
    </w:p>
    <w:p w14:paraId="53F12889" w14:textId="77777777" w:rsidR="003A4C78" w:rsidRPr="002B0546" w:rsidRDefault="003A4C78" w:rsidP="003A4C78">
      <w:pPr>
        <w:spacing w:line="276" w:lineRule="auto"/>
        <w:jc w:val="both"/>
        <w:rPr>
          <w:rFonts w:ascii="Arial" w:hAnsi="Arial"/>
          <w:iCs/>
          <w:color w:val="auto"/>
          <w:spacing w:val="-2"/>
          <w:sz w:val="22"/>
          <w:szCs w:val="22"/>
        </w:rPr>
      </w:pPr>
    </w:p>
    <w:p w14:paraId="65ACE03E" w14:textId="3ED09F7A" w:rsidR="003A4C78" w:rsidRPr="002B0546" w:rsidRDefault="003A4C78" w:rsidP="003A4C78">
      <w:pPr>
        <w:spacing w:line="276" w:lineRule="auto"/>
        <w:jc w:val="both"/>
        <w:rPr>
          <w:rFonts w:ascii="Arial" w:hAnsi="Arial"/>
          <w:iCs/>
          <w:color w:val="auto"/>
          <w:spacing w:val="-2"/>
          <w:sz w:val="22"/>
          <w:szCs w:val="22"/>
        </w:rPr>
      </w:pPr>
      <w:r w:rsidRPr="005F40AF">
        <w:rPr>
          <w:rFonts w:ascii="Arial" w:hAnsi="Arial"/>
          <w:b/>
          <w:bCs/>
          <w:iCs/>
          <w:color w:val="auto"/>
          <w:spacing w:val="-2"/>
          <w:sz w:val="22"/>
          <w:szCs w:val="22"/>
        </w:rPr>
        <w:t>Jednak co gorsza obawy inflacyjne w dużym zakresie wpłynęły na gwałtowne i szokowe pogorszenie ocen w zakresie własnej sytuacji finansowej.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 Saldo ocen w zakresie pytania „Jak oceniają Państwo obecną sytuację finansową swego gospodarstwa domowego w porównaniu z sytuacją sprzed 12 miesięcy” nieoczekiwanie tąpnęło do najniższego poziomu od </w:t>
      </w:r>
      <w:r w:rsidR="005F40AF">
        <w:rPr>
          <w:rFonts w:ascii="Arial" w:hAnsi="Arial"/>
          <w:iCs/>
          <w:color w:val="auto"/>
          <w:spacing w:val="-2"/>
          <w:sz w:val="22"/>
          <w:szCs w:val="22"/>
        </w:rPr>
        <w:t>2012 roku (wykres 5)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. To jest ogromne zaskoczenie w świetle niskiego bezrobocia, silnego wzrostu gospodarczego. Tąpnięcie nastrojów w tym obszarze o ponad 15 pp. w jednym kwartale to</w:t>
      </w:r>
      <w:r w:rsidR="00782B3C">
        <w:rPr>
          <w:rFonts w:ascii="Arial" w:hAnsi="Arial"/>
          <w:iCs/>
          <w:color w:val="auto"/>
          <w:spacing w:val="-2"/>
          <w:sz w:val="22"/>
          <w:szCs w:val="22"/>
        </w:rPr>
        <w:t>,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 z wyjątkiem szoku pandemicznego w marcu ub.r.</w:t>
      </w:r>
      <w:r w:rsidR="00782B3C">
        <w:rPr>
          <w:rFonts w:ascii="Arial" w:hAnsi="Arial"/>
          <w:iCs/>
          <w:color w:val="auto"/>
          <w:spacing w:val="-2"/>
          <w:sz w:val="22"/>
          <w:szCs w:val="22"/>
        </w:rPr>
        <w:t xml:space="preserve">, 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rekordowy poziom. Jednak oceny w tym zakresie, są gorsze niż w okresie kryzysu pandemicznego, bo tąpnięcie jest głębsze niż pokryzysowa odbudowa. </w:t>
      </w:r>
      <w:r w:rsidR="005F40AF">
        <w:rPr>
          <w:rFonts w:ascii="Arial" w:hAnsi="Arial"/>
          <w:iCs/>
          <w:color w:val="auto"/>
          <w:spacing w:val="-2"/>
          <w:sz w:val="22"/>
          <w:szCs w:val="22"/>
        </w:rPr>
        <w:t xml:space="preserve">Obawy inflacyjne momentalnie „żarły” mozolnie odbudowywany optymizm konsumentów. 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>To pokazuje powagę sytuacji. Narracja władz monetarnych i rządu, że rzekomo inflacja nie jest groźna bo rosną wynagrodzenia nie przekonała społeczeństwa i jest fałszywa. Dynamiki, wskaźniki, którymi posługuje się rząd to są tylko liczby. To, że możemy kupić więcej bochenków chleba niż kilka lat temu to błędna i lekceważąca narracja. Wpływ inflacji na budżety gospodarstw domowych należy oceniać z perspektywy bieżącego zadowalania z konsumpcji, bieżącej użyteczności, całego budżetu rodziny. Wzrost cen, tu i teraz zmusza rodziny do rezygnacji z lepszych jakościowo produktów, do rezygnacji z rozrywki i wszelkich usług, które nie były wcześniej osiągalne. A to mocno przesuwa nas w dół na skali zadowolenia. I humoru nie poprawi to, że stać nas na mniej chleba w porównaniu do wczoraj</w:t>
      </w:r>
      <w:r w:rsidR="00782B3C">
        <w:rPr>
          <w:rFonts w:ascii="Arial" w:hAnsi="Arial"/>
          <w:iCs/>
          <w:color w:val="auto"/>
          <w:spacing w:val="-2"/>
          <w:sz w:val="22"/>
          <w:szCs w:val="22"/>
        </w:rPr>
        <w:t>,</w:t>
      </w:r>
      <w:r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 ale więcej niż 5 lat temu. Przecież większość nie trzyma rezerwy na wzrost cen chleba, czy paliwa tylko w to miejsce weszły lepsze produktu i usługi, z których teraz muszą rodziny rezygnować.</w:t>
      </w:r>
    </w:p>
    <w:p w14:paraId="34238783" w14:textId="77777777" w:rsidR="003A4C78" w:rsidRPr="002B0546" w:rsidRDefault="003A4C78" w:rsidP="003A4C78">
      <w:pPr>
        <w:spacing w:line="276" w:lineRule="auto"/>
        <w:jc w:val="both"/>
        <w:rPr>
          <w:rFonts w:ascii="Arial" w:hAnsi="Arial"/>
          <w:iCs/>
          <w:color w:val="auto"/>
          <w:spacing w:val="-2"/>
          <w:sz w:val="22"/>
          <w:szCs w:val="22"/>
        </w:rPr>
      </w:pPr>
    </w:p>
    <w:p w14:paraId="52127006" w14:textId="384973C8" w:rsidR="003A4C78" w:rsidRPr="002B0546" w:rsidRDefault="00782B3C" w:rsidP="003A4C78">
      <w:pPr>
        <w:spacing w:line="276" w:lineRule="auto"/>
        <w:jc w:val="both"/>
        <w:rPr>
          <w:rFonts w:ascii="Arial" w:hAnsi="Arial"/>
          <w:iCs/>
          <w:color w:val="auto"/>
          <w:spacing w:val="-2"/>
          <w:sz w:val="22"/>
          <w:szCs w:val="22"/>
        </w:rPr>
      </w:pPr>
      <w:r>
        <w:rPr>
          <w:rFonts w:ascii="Arial" w:hAnsi="Arial"/>
          <w:iCs/>
          <w:color w:val="auto"/>
          <w:spacing w:val="-2"/>
          <w:sz w:val="22"/>
          <w:szCs w:val="22"/>
        </w:rPr>
        <w:t>W świetle wyników badania o</w:t>
      </w:r>
      <w:r w:rsidR="003A4C78"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becna wysoka inflacja, jest groźniejsza dla oceny sytuacji finansowej gospodarstw domowych </w:t>
      </w:r>
      <w:r w:rsidR="005F40AF">
        <w:rPr>
          <w:rFonts w:ascii="Arial" w:hAnsi="Arial"/>
          <w:iCs/>
          <w:color w:val="auto"/>
          <w:spacing w:val="-2"/>
          <w:sz w:val="22"/>
          <w:szCs w:val="22"/>
        </w:rPr>
        <w:t xml:space="preserve">nawet </w:t>
      </w:r>
      <w:r w:rsidR="003A4C78" w:rsidRPr="002B0546">
        <w:rPr>
          <w:rFonts w:ascii="Arial" w:hAnsi="Arial"/>
          <w:iCs/>
          <w:color w:val="auto"/>
          <w:spacing w:val="-2"/>
          <w:sz w:val="22"/>
          <w:szCs w:val="22"/>
        </w:rPr>
        <w:t>niż pandemia w roku ubiegły</w:t>
      </w:r>
      <w:r>
        <w:rPr>
          <w:rFonts w:ascii="Arial" w:hAnsi="Arial"/>
          <w:iCs/>
          <w:color w:val="auto"/>
          <w:spacing w:val="-2"/>
          <w:sz w:val="22"/>
          <w:szCs w:val="22"/>
        </w:rPr>
        <w:t>m</w:t>
      </w:r>
      <w:r w:rsidR="003A4C78"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. </w:t>
      </w:r>
      <w:r w:rsidR="005F40AF">
        <w:rPr>
          <w:rFonts w:ascii="Arial" w:hAnsi="Arial"/>
          <w:iCs/>
          <w:color w:val="auto"/>
          <w:spacing w:val="-2"/>
          <w:sz w:val="22"/>
          <w:szCs w:val="22"/>
        </w:rPr>
        <w:t xml:space="preserve">Mamy więcej pesymistów niż rok temu w marcu. </w:t>
      </w:r>
      <w:r w:rsidR="003A4C78"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Ponad 56% ocenia, że </w:t>
      </w:r>
      <w:r w:rsidR="005F40AF">
        <w:rPr>
          <w:rFonts w:ascii="Arial" w:hAnsi="Arial"/>
          <w:iCs/>
          <w:color w:val="auto"/>
          <w:spacing w:val="-2"/>
          <w:sz w:val="22"/>
          <w:szCs w:val="22"/>
        </w:rPr>
        <w:t>ich sytuacja finansowa pogorszyła się</w:t>
      </w:r>
      <w:r w:rsidR="003A4C78"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, a w pandemii ten odsetek wynosił ok. 50%, a w 2015 r. ok. 35%. A przecież jesteśmy nadal przed szczytem inflacji. </w:t>
      </w:r>
      <w:r w:rsidR="005F40AF" w:rsidRPr="005F40AF">
        <w:rPr>
          <w:rFonts w:ascii="Arial" w:hAnsi="Arial"/>
          <w:b/>
          <w:bCs/>
          <w:iCs/>
          <w:color w:val="auto"/>
          <w:spacing w:val="-2"/>
          <w:sz w:val="22"/>
          <w:szCs w:val="22"/>
        </w:rPr>
        <w:t>Dość, że inflacja jest w trendzie wzrostowym i maksimum jeszcze przed nami. Dość, że jesteśmy opóźnieni w cyklu podwyżek. Dość, że oczekiwania inflacyjne oderwały się od stabilnych poziomów to jeszcze runęły nastroje ekonomiczne gospodarstw domowych. To jest mieszanka wybuchowa.</w:t>
      </w:r>
    </w:p>
    <w:p w14:paraId="2860824E" w14:textId="77777777" w:rsidR="003A4C78" w:rsidRPr="002B0546" w:rsidRDefault="003A4C78" w:rsidP="003A4C78">
      <w:pPr>
        <w:spacing w:line="276" w:lineRule="auto"/>
        <w:jc w:val="both"/>
        <w:rPr>
          <w:rFonts w:ascii="Arial" w:hAnsi="Arial"/>
          <w:iCs/>
          <w:color w:val="auto"/>
          <w:spacing w:val="-2"/>
          <w:sz w:val="22"/>
          <w:szCs w:val="22"/>
        </w:rPr>
      </w:pPr>
    </w:p>
    <w:p w14:paraId="2C0C7A51" w14:textId="7527CC15" w:rsidR="008E0A9E" w:rsidRDefault="005F40AF" w:rsidP="008E0A9E">
      <w:pPr>
        <w:spacing w:line="276" w:lineRule="auto"/>
        <w:jc w:val="both"/>
        <w:rPr>
          <w:rFonts w:ascii="Arial" w:hAnsi="Arial"/>
          <w:iCs/>
          <w:color w:val="auto"/>
          <w:spacing w:val="-2"/>
          <w:sz w:val="22"/>
          <w:szCs w:val="22"/>
        </w:rPr>
      </w:pPr>
      <w:r>
        <w:rPr>
          <w:rFonts w:ascii="Arial" w:hAnsi="Arial"/>
          <w:iCs/>
          <w:color w:val="auto"/>
          <w:spacing w:val="-2"/>
          <w:sz w:val="22"/>
          <w:szCs w:val="22"/>
        </w:rPr>
        <w:t>Respondenci</w:t>
      </w:r>
      <w:r w:rsidR="003A4C78"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 </w:t>
      </w:r>
      <w:r w:rsidR="008E0A9E">
        <w:rPr>
          <w:rFonts w:ascii="Arial" w:hAnsi="Arial"/>
          <w:iCs/>
          <w:color w:val="auto"/>
          <w:spacing w:val="-2"/>
          <w:sz w:val="22"/>
          <w:szCs w:val="22"/>
        </w:rPr>
        <w:t>ponuro</w:t>
      </w:r>
      <w:r w:rsidR="003A4C78"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 też </w:t>
      </w:r>
      <w:r w:rsidR="008E0A9E">
        <w:rPr>
          <w:rFonts w:ascii="Arial" w:hAnsi="Arial"/>
          <w:iCs/>
          <w:color w:val="auto"/>
          <w:spacing w:val="-2"/>
          <w:sz w:val="22"/>
          <w:szCs w:val="22"/>
        </w:rPr>
        <w:t xml:space="preserve">oceniają </w:t>
      </w:r>
      <w:r w:rsidR="003A4C78"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pozostałe obszary </w:t>
      </w:r>
      <w:r w:rsidR="008E0A9E">
        <w:rPr>
          <w:rFonts w:ascii="Arial" w:hAnsi="Arial"/>
          <w:iCs/>
          <w:color w:val="auto"/>
          <w:spacing w:val="-2"/>
          <w:sz w:val="22"/>
          <w:szCs w:val="22"/>
        </w:rPr>
        <w:t xml:space="preserve">swojej sytuacji ekonomicznej i percepcji otoczenia makroekonomicznego. </w:t>
      </w:r>
      <w:r w:rsidR="002B748A">
        <w:rPr>
          <w:rFonts w:ascii="Arial" w:hAnsi="Arial"/>
          <w:iCs/>
          <w:color w:val="auto"/>
          <w:spacing w:val="-2"/>
          <w:sz w:val="22"/>
          <w:szCs w:val="22"/>
        </w:rPr>
        <w:t>Tąpnęły</w:t>
      </w:r>
      <w:r w:rsidR="008E0A9E">
        <w:rPr>
          <w:rFonts w:ascii="Arial" w:hAnsi="Arial"/>
          <w:iCs/>
          <w:color w:val="auto"/>
          <w:spacing w:val="-2"/>
          <w:sz w:val="22"/>
          <w:szCs w:val="22"/>
        </w:rPr>
        <w:t xml:space="preserve"> też oceny przyszłej </w:t>
      </w:r>
      <w:r w:rsidR="003A4C78" w:rsidRPr="002B0546">
        <w:rPr>
          <w:rFonts w:ascii="Arial" w:hAnsi="Arial"/>
          <w:iCs/>
          <w:color w:val="auto"/>
          <w:spacing w:val="-2"/>
          <w:sz w:val="22"/>
          <w:szCs w:val="22"/>
        </w:rPr>
        <w:t xml:space="preserve">sytuacji finansowej, jak i również oceny obecnej i przyszłej sytuacji całej gospodarki. </w:t>
      </w:r>
      <w:r w:rsidR="008E0A9E">
        <w:rPr>
          <w:rFonts w:ascii="Arial" w:hAnsi="Arial"/>
          <w:iCs/>
          <w:color w:val="auto"/>
          <w:spacing w:val="-2"/>
          <w:sz w:val="22"/>
          <w:szCs w:val="22"/>
        </w:rPr>
        <w:t>Tak, to jest stagflacja. Na razie w nastrojach konsumenckich</w:t>
      </w:r>
      <w:r w:rsidR="002B748A">
        <w:rPr>
          <w:rFonts w:ascii="Arial" w:hAnsi="Arial"/>
          <w:iCs/>
          <w:color w:val="auto"/>
          <w:spacing w:val="-2"/>
          <w:sz w:val="22"/>
          <w:szCs w:val="22"/>
        </w:rPr>
        <w:t xml:space="preserve">. </w:t>
      </w:r>
    </w:p>
    <w:bookmarkEnd w:id="1"/>
    <w:p w14:paraId="598E0425" w14:textId="278BB597" w:rsidR="003A4C78" w:rsidRDefault="003A4C78">
      <w:pPr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35C230AE" w14:textId="5AD5BD84" w:rsidR="002B748A" w:rsidRDefault="002B748A">
      <w:pPr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54D45954" w14:textId="7173C653" w:rsidR="002B748A" w:rsidRDefault="002B748A">
      <w:pPr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018C640E" w14:textId="01E710FB" w:rsidR="002B748A" w:rsidRDefault="002B748A">
      <w:pPr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188320E3" w14:textId="7991702D" w:rsidR="002B748A" w:rsidRDefault="002B748A">
      <w:pPr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5B895962" w14:textId="3F36DD8B" w:rsidR="002B748A" w:rsidRDefault="002B748A">
      <w:pPr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36DDE847" w14:textId="7A24A9E8" w:rsidR="002B748A" w:rsidRDefault="002B748A">
      <w:pPr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6B97195F" w14:textId="1EB54787" w:rsidR="002B748A" w:rsidRDefault="002B748A">
      <w:pPr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2B85BCD1" w14:textId="44A96F4C" w:rsidR="002B748A" w:rsidRDefault="002B748A">
      <w:pPr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331F9A7D" w14:textId="5E768C1E" w:rsidR="002B748A" w:rsidRDefault="002B748A">
      <w:pPr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04EA4B85" w14:textId="2B5FE105" w:rsidR="002B748A" w:rsidRDefault="002B748A">
      <w:pPr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18483D08" w14:textId="77777777" w:rsidR="002B748A" w:rsidRDefault="002B748A">
      <w:pPr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22C707B5" w14:textId="77777777" w:rsidR="002B748A" w:rsidRDefault="002B748A">
      <w:pPr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804FC" w14:paraId="7F107AE2" w14:textId="77777777" w:rsidTr="003A4C78">
        <w:tc>
          <w:tcPr>
            <w:tcW w:w="9180" w:type="dxa"/>
          </w:tcPr>
          <w:p w14:paraId="466DD851" w14:textId="14EF0E13" w:rsidR="008804FC" w:rsidRPr="008804FC" w:rsidRDefault="00DC5014" w:rsidP="003F36BC">
            <w:pPr>
              <w:spacing w:line="276" w:lineRule="auto"/>
              <w:jc w:val="center"/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</w:pPr>
            <w:r>
              <w:rPr>
                <w:rFonts w:ascii="Arial" w:hAnsi="Arial"/>
                <w:iCs/>
                <w:color w:val="auto"/>
                <w:spacing w:val="-2"/>
                <w:sz w:val="22"/>
                <w:szCs w:val="22"/>
              </w:rPr>
              <w:lastRenderedPageBreak/>
              <w:t xml:space="preserve">Wykres 1: </w:t>
            </w:r>
            <w:r w:rsidR="003F36BC" w:rsidRPr="003F36BC">
              <w:rPr>
                <w:rFonts w:ascii="Arial" w:hAnsi="Arial"/>
                <w:iCs/>
                <w:color w:val="auto"/>
                <w:spacing w:val="-2"/>
                <w:sz w:val="22"/>
                <w:szCs w:val="22"/>
              </w:rPr>
              <w:t>Czy w porównaniu z sytuacją sprzed 12 miesięcy koszty utrzymania w Polsce są, Państwa zdaniem, teraz:</w:t>
            </w:r>
            <w:r w:rsidR="003F36BC">
              <w:rPr>
                <w:rFonts w:ascii="Arial" w:hAnsi="Arial"/>
                <w:iCs/>
                <w:color w:val="auto"/>
                <w:spacing w:val="-2"/>
                <w:sz w:val="22"/>
                <w:szCs w:val="22"/>
              </w:rPr>
              <w:t xml:space="preserve"> </w:t>
            </w:r>
          </w:p>
        </w:tc>
      </w:tr>
      <w:tr w:rsidR="008804FC" w14:paraId="7B870501" w14:textId="77777777" w:rsidTr="001F2443">
        <w:tblPrEx>
          <w:tblCellMar>
            <w:left w:w="70" w:type="dxa"/>
            <w:right w:w="70" w:type="dxa"/>
          </w:tblCellMar>
        </w:tblPrEx>
        <w:tc>
          <w:tcPr>
            <w:tcW w:w="9180" w:type="dxa"/>
          </w:tcPr>
          <w:p w14:paraId="459E729E" w14:textId="7CCF1AAB" w:rsidR="008804FC" w:rsidRDefault="001F2443" w:rsidP="008804FC">
            <w:pPr>
              <w:spacing w:line="276" w:lineRule="auto"/>
              <w:jc w:val="center"/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FEEC54D" wp14:editId="1613F7BD">
                  <wp:extent cx="5760720" cy="3777615"/>
                  <wp:effectExtent l="0" t="0" r="0" b="0"/>
                  <wp:docPr id="29" name="Obraz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9EA66A-3F4C-41A9-94E7-42578072A3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28">
                            <a:extLst>
                              <a:ext uri="{FF2B5EF4-FFF2-40B4-BE49-F238E27FC236}">
                                <a16:creationId xmlns:a16="http://schemas.microsoft.com/office/drawing/2014/main" id="{D19EA66A-3F4C-41A9-94E7-42578072A3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77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0D923" w14:textId="5990CD76" w:rsidR="008804FC" w:rsidRDefault="00A32ECF" w:rsidP="008804FC">
            <w:pPr>
              <w:spacing w:line="276" w:lineRule="auto"/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</w:pPr>
            <w:r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>Źródło: IRG</w:t>
            </w:r>
            <w:r w:rsidR="00B46380"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 xml:space="preserve"> SGH i </w:t>
            </w:r>
            <w:r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 xml:space="preserve">ZPF, </w:t>
            </w:r>
            <w:r w:rsidR="008804FC"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>N=1</w:t>
            </w:r>
            <w:r w:rsidR="003F36BC"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>0</w:t>
            </w:r>
            <w:r w:rsidR="008804FC"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>00</w:t>
            </w:r>
          </w:p>
        </w:tc>
      </w:tr>
    </w:tbl>
    <w:p w14:paraId="1B232EB3" w14:textId="76A22E6B" w:rsidR="00DA1DA8" w:rsidRDefault="00DA1DA8" w:rsidP="002E3235">
      <w:pPr>
        <w:spacing w:line="276" w:lineRule="auto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46DBBA21" w14:textId="7680562E" w:rsidR="003A4C78" w:rsidRDefault="003A4C78" w:rsidP="002E3235">
      <w:pPr>
        <w:spacing w:line="276" w:lineRule="auto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34772CE1" w14:textId="5B018B7A" w:rsidR="003A4C78" w:rsidRDefault="003A4C78" w:rsidP="002E3235">
      <w:pPr>
        <w:spacing w:line="276" w:lineRule="auto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6550BC0E" w14:textId="77777777" w:rsidR="003A4C78" w:rsidRDefault="003A4C78" w:rsidP="002E3235">
      <w:pPr>
        <w:spacing w:line="276" w:lineRule="auto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030E3" w14:paraId="16A85D25" w14:textId="77777777" w:rsidTr="00E71761">
        <w:tc>
          <w:tcPr>
            <w:tcW w:w="9122" w:type="dxa"/>
          </w:tcPr>
          <w:p w14:paraId="16996AF1" w14:textId="11DB6CE9" w:rsidR="000030E3" w:rsidRPr="000030E3" w:rsidRDefault="00DC5014" w:rsidP="000030E3">
            <w:pPr>
              <w:spacing w:line="276" w:lineRule="auto"/>
              <w:jc w:val="center"/>
              <w:rPr>
                <w:rFonts w:ascii="Roboto Light" w:hAnsi="Roboto Light"/>
                <w:b/>
                <w:bCs/>
                <w:i/>
                <w:color w:val="auto"/>
                <w:spacing w:val="-2"/>
                <w:sz w:val="18"/>
                <w:szCs w:val="19"/>
              </w:rPr>
            </w:pPr>
            <w:r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 xml:space="preserve">Wykres 2: </w:t>
            </w:r>
            <w:r w:rsidR="000030E3" w:rsidRPr="000030E3"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>Czy osobiście odczuwacie Państwo wzrost cen bardziej niż zwykle w swoich wydatkach, w swoim budżecie domowym?”</w:t>
            </w:r>
          </w:p>
        </w:tc>
      </w:tr>
      <w:tr w:rsidR="000030E3" w14:paraId="48579E1C" w14:textId="77777777" w:rsidTr="00E71761">
        <w:tblPrEx>
          <w:tblCellMar>
            <w:left w:w="70" w:type="dxa"/>
            <w:right w:w="70" w:type="dxa"/>
          </w:tblCellMar>
        </w:tblPrEx>
        <w:tc>
          <w:tcPr>
            <w:tcW w:w="9122" w:type="dxa"/>
          </w:tcPr>
          <w:p w14:paraId="540A13C1" w14:textId="09FA14D7" w:rsidR="000030E3" w:rsidRDefault="000030E3" w:rsidP="00E71761">
            <w:pPr>
              <w:spacing w:line="276" w:lineRule="auto"/>
              <w:jc w:val="center"/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</w:pPr>
            <w:r w:rsidRPr="000030E3">
              <w:rPr>
                <w:rFonts w:ascii="Roboto Light" w:hAnsi="Roboto Light"/>
                <w:iCs/>
                <w:noProof/>
                <w:color w:val="auto"/>
                <w:spacing w:val="-2"/>
                <w:sz w:val="18"/>
                <w:szCs w:val="19"/>
              </w:rPr>
              <w:drawing>
                <wp:inline distT="0" distB="0" distL="0" distR="0" wp14:anchorId="2D607C23" wp14:editId="2BACDAB6">
                  <wp:extent cx="3945731" cy="237072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432" cy="237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4BF9D" w14:textId="3C7D8A32" w:rsidR="000030E3" w:rsidRDefault="000030E3" w:rsidP="00E71761">
            <w:pPr>
              <w:spacing w:line="276" w:lineRule="auto"/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</w:pPr>
            <w:r w:rsidRPr="00A32ECF"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>Źródło: IRG-ZPF, N=</w:t>
            </w:r>
            <w:r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>1000</w:t>
            </w:r>
          </w:p>
        </w:tc>
      </w:tr>
    </w:tbl>
    <w:p w14:paraId="636B85EE" w14:textId="14C3441E" w:rsidR="00DA1DA8" w:rsidRDefault="00DA1DA8" w:rsidP="002E3235">
      <w:pPr>
        <w:spacing w:line="276" w:lineRule="auto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2218FE47" w14:textId="33DFB94B" w:rsidR="00FC575C" w:rsidRDefault="00FC575C" w:rsidP="002E3235">
      <w:pPr>
        <w:spacing w:line="276" w:lineRule="auto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28D4415F" w14:textId="71DCAC28" w:rsidR="00FC575C" w:rsidRDefault="00FC575C" w:rsidP="002E3235">
      <w:pPr>
        <w:spacing w:line="276" w:lineRule="auto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1650BF39" w14:textId="77777777" w:rsidR="00FC575C" w:rsidRPr="00DA1DA8" w:rsidRDefault="00FC575C" w:rsidP="002E3235">
      <w:pPr>
        <w:spacing w:line="276" w:lineRule="auto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8804FC" w14:paraId="40BAB0C9" w14:textId="77777777" w:rsidTr="000960C7">
        <w:tc>
          <w:tcPr>
            <w:tcW w:w="9122" w:type="dxa"/>
          </w:tcPr>
          <w:p w14:paraId="5C819D0F" w14:textId="30E983BC" w:rsidR="000030E3" w:rsidRPr="000030E3" w:rsidRDefault="00DC5014" w:rsidP="000030E3">
            <w:pPr>
              <w:spacing w:line="276" w:lineRule="auto"/>
              <w:jc w:val="center"/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</w:pPr>
            <w:r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 xml:space="preserve">Wykres 3: </w:t>
            </w:r>
            <w:r w:rsidR="000030E3" w:rsidRPr="000030E3"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 xml:space="preserve">Jeżeli </w:t>
            </w:r>
            <w:r w:rsidR="000030E3"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>odczuwacie wzrost cen (</w:t>
            </w:r>
            <w:r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>„</w:t>
            </w:r>
            <w:r w:rsidR="000030E3"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>tak</w:t>
            </w:r>
            <w:r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>”</w:t>
            </w:r>
            <w:r w:rsidR="000030E3"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 xml:space="preserve"> </w:t>
            </w:r>
            <w:r w:rsidR="00BF56AF"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>Wykres 2</w:t>
            </w:r>
            <w:r w:rsidR="000030E3"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>)</w:t>
            </w:r>
            <w:r w:rsidR="000030E3" w:rsidRPr="000030E3"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>, to wzrost jakich cen, kosztów odczuwacie Państwo bardziej niż zwykle?</w:t>
            </w:r>
          </w:p>
          <w:p w14:paraId="1BA915EC" w14:textId="60E98D30" w:rsidR="008804FC" w:rsidRPr="000030E3" w:rsidRDefault="000030E3" w:rsidP="000030E3">
            <w:pPr>
              <w:spacing w:line="276" w:lineRule="auto"/>
              <w:jc w:val="center"/>
              <w:rPr>
                <w:rFonts w:ascii="Roboto Light" w:hAnsi="Roboto Light"/>
                <w:b/>
                <w:bCs/>
                <w:i/>
                <w:color w:val="auto"/>
                <w:spacing w:val="-2"/>
                <w:sz w:val="18"/>
                <w:szCs w:val="19"/>
              </w:rPr>
            </w:pPr>
            <w:r>
              <w:rPr>
                <w:rFonts w:ascii="Roboto Light" w:hAnsi="Roboto Light"/>
                <w:iCs/>
                <w:color w:val="auto"/>
                <w:spacing w:val="-2"/>
                <w:sz w:val="22"/>
                <w:szCs w:val="22"/>
              </w:rPr>
              <w:t>(</w:t>
            </w:r>
            <w:r w:rsidRPr="000030E3">
              <w:rPr>
                <w:rFonts w:ascii="Roboto Light" w:hAnsi="Roboto Light"/>
                <w:iCs/>
                <w:color w:val="auto"/>
                <w:spacing w:val="-2"/>
                <w:sz w:val="22"/>
                <w:szCs w:val="22"/>
              </w:rPr>
              <w:t xml:space="preserve">0 – nie odczuwamy wzrostu, siła tego jak bardzo doczuwamy od 1 do 3: </w:t>
            </w:r>
            <w:r w:rsidRPr="000030E3">
              <w:rPr>
                <w:rFonts w:ascii="Roboto Light" w:hAnsi="Roboto Light"/>
                <w:iCs/>
                <w:color w:val="auto"/>
                <w:spacing w:val="-2"/>
              </w:rPr>
              <w:t>1 – lekko bardziej niż zwykle 2 – bardziej niż zwykle; 3 - zdecydowanie dużo bardziej niż zwykle</w:t>
            </w:r>
            <w:r w:rsidRPr="000030E3">
              <w:rPr>
                <w:rFonts w:ascii="Roboto Light" w:hAnsi="Roboto Light"/>
                <w:b/>
                <w:bCs/>
                <w:iCs/>
                <w:color w:val="auto"/>
                <w:spacing w:val="-2"/>
              </w:rPr>
              <w:t>)</w:t>
            </w:r>
          </w:p>
        </w:tc>
      </w:tr>
      <w:tr w:rsidR="008804FC" w14:paraId="530C7B59" w14:textId="77777777" w:rsidTr="008804FC">
        <w:tblPrEx>
          <w:tblCellMar>
            <w:left w:w="70" w:type="dxa"/>
            <w:right w:w="70" w:type="dxa"/>
          </w:tblCellMar>
        </w:tblPrEx>
        <w:tc>
          <w:tcPr>
            <w:tcW w:w="9122" w:type="dxa"/>
          </w:tcPr>
          <w:p w14:paraId="6B3A8491" w14:textId="7379E97A" w:rsidR="008804FC" w:rsidRDefault="005139FC" w:rsidP="000960C7">
            <w:pPr>
              <w:spacing w:line="276" w:lineRule="auto"/>
              <w:jc w:val="center"/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</w:pPr>
            <w:r w:rsidRPr="005139FC">
              <w:rPr>
                <w:rFonts w:ascii="Roboto Light" w:hAnsi="Roboto Light"/>
                <w:iCs/>
                <w:noProof/>
                <w:color w:val="auto"/>
                <w:spacing w:val="-2"/>
                <w:sz w:val="18"/>
                <w:szCs w:val="19"/>
              </w:rPr>
              <w:drawing>
                <wp:inline distT="0" distB="0" distL="0" distR="0" wp14:anchorId="5E6E7F26" wp14:editId="25742346">
                  <wp:extent cx="5758180" cy="219329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180" cy="219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CF5BF" w14:textId="2914FD6F" w:rsidR="008804FC" w:rsidRDefault="00A32ECF" w:rsidP="008804FC">
            <w:pPr>
              <w:spacing w:line="276" w:lineRule="auto"/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</w:pPr>
            <w:r w:rsidRPr="00A32ECF"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>Źródło: IRG-ZPF, N=</w:t>
            </w:r>
            <w:r w:rsidR="000030E3"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>862</w:t>
            </w:r>
          </w:p>
        </w:tc>
      </w:tr>
    </w:tbl>
    <w:p w14:paraId="2B20617C" w14:textId="654B6523" w:rsidR="0084376C" w:rsidRDefault="0084376C" w:rsidP="002D131B">
      <w:pPr>
        <w:spacing w:line="276" w:lineRule="auto"/>
        <w:jc w:val="both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1873D9D1" w14:textId="2F77E232" w:rsidR="003A4C78" w:rsidRDefault="003A4C78" w:rsidP="002D131B">
      <w:pPr>
        <w:spacing w:line="276" w:lineRule="auto"/>
        <w:jc w:val="both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F56AF" w14:paraId="628D932A" w14:textId="77777777" w:rsidTr="00B11995">
        <w:tc>
          <w:tcPr>
            <w:tcW w:w="9180" w:type="dxa"/>
          </w:tcPr>
          <w:p w14:paraId="3FE2BE6A" w14:textId="77777777" w:rsidR="00E84FC3" w:rsidRDefault="00BF56AF" w:rsidP="00B11995">
            <w:pPr>
              <w:spacing w:line="276" w:lineRule="auto"/>
              <w:jc w:val="center"/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</w:pPr>
            <w:r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 xml:space="preserve">Wykres 4: </w:t>
            </w:r>
            <w:r w:rsidRPr="003A4C78"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>Czy sądzą Państwo, że w następnych 12 miesiącach w Polsce</w:t>
            </w:r>
          </w:p>
          <w:p w14:paraId="653CA4DD" w14:textId="5D2DC4C6" w:rsidR="00BF56AF" w:rsidRPr="000030E3" w:rsidRDefault="00E84FC3" w:rsidP="00B11995">
            <w:pPr>
              <w:spacing w:line="276" w:lineRule="auto"/>
              <w:jc w:val="center"/>
              <w:rPr>
                <w:rFonts w:ascii="Roboto Light" w:hAnsi="Roboto Light"/>
                <w:b/>
                <w:bCs/>
                <w:i/>
                <w:color w:val="auto"/>
                <w:spacing w:val="-2"/>
                <w:sz w:val="18"/>
                <w:szCs w:val="19"/>
              </w:rPr>
            </w:pPr>
            <w:r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>(odsetek optymistów i pesymistów)</w:t>
            </w:r>
            <w:r w:rsidR="00BF56AF" w:rsidRPr="003A4C78"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>:</w:t>
            </w:r>
          </w:p>
        </w:tc>
      </w:tr>
      <w:tr w:rsidR="00BF56AF" w14:paraId="0CCF6B5D" w14:textId="77777777" w:rsidTr="00E84FC3">
        <w:tblPrEx>
          <w:tblCellMar>
            <w:left w:w="70" w:type="dxa"/>
            <w:right w:w="70" w:type="dxa"/>
          </w:tblCellMar>
        </w:tblPrEx>
        <w:tc>
          <w:tcPr>
            <w:tcW w:w="9180" w:type="dxa"/>
          </w:tcPr>
          <w:p w14:paraId="6C53AD23" w14:textId="03C4E2B2" w:rsidR="00BF56AF" w:rsidRDefault="00E84FC3" w:rsidP="00B11995">
            <w:pPr>
              <w:spacing w:line="276" w:lineRule="auto"/>
              <w:jc w:val="center"/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262A1FD" wp14:editId="5CED3C54">
                  <wp:extent cx="5760720" cy="3777615"/>
                  <wp:effectExtent l="0" t="0" r="0" b="0"/>
                  <wp:docPr id="31" name="Obraz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C9924F-DBC0-43C7-A077-8DF4DE907A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30">
                            <a:extLst>
                              <a:ext uri="{FF2B5EF4-FFF2-40B4-BE49-F238E27FC236}">
                                <a16:creationId xmlns:a16="http://schemas.microsoft.com/office/drawing/2014/main" id="{28C9924F-DBC0-43C7-A077-8DF4DE907A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77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613B8" w14:textId="77777777" w:rsidR="00BF56AF" w:rsidRDefault="00BF56AF" w:rsidP="00B11995">
            <w:pPr>
              <w:spacing w:line="276" w:lineRule="auto"/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</w:pPr>
            <w:r w:rsidRPr="00A32ECF"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>Źródło: IRG-ZPF, N=</w:t>
            </w:r>
            <w:r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>1000</w:t>
            </w:r>
          </w:p>
        </w:tc>
      </w:tr>
    </w:tbl>
    <w:p w14:paraId="252D65A4" w14:textId="430D63B4" w:rsidR="00BF56AF" w:rsidRDefault="00BF56AF">
      <w:pPr>
        <w:rPr>
          <w:rFonts w:ascii="Roboto Light" w:hAnsi="Roboto Light"/>
          <w:iCs/>
          <w:color w:val="auto"/>
          <w:spacing w:val="-2"/>
          <w:sz w:val="24"/>
          <w:szCs w:val="24"/>
        </w:rPr>
      </w:pPr>
      <w:r>
        <w:rPr>
          <w:rFonts w:ascii="Roboto Light" w:hAnsi="Roboto Light"/>
          <w:iCs/>
          <w:color w:val="auto"/>
          <w:spacing w:val="-2"/>
          <w:sz w:val="24"/>
          <w:szCs w:val="24"/>
        </w:rPr>
        <w:br w:type="page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139FC" w14:paraId="3B692569" w14:textId="77777777" w:rsidTr="0084376C">
        <w:tc>
          <w:tcPr>
            <w:tcW w:w="9180" w:type="dxa"/>
          </w:tcPr>
          <w:p w14:paraId="671212D3" w14:textId="1EB520D6" w:rsidR="005139FC" w:rsidRPr="000030E3" w:rsidRDefault="005139FC" w:rsidP="0084376C">
            <w:pPr>
              <w:spacing w:line="276" w:lineRule="auto"/>
              <w:jc w:val="center"/>
              <w:rPr>
                <w:rFonts w:ascii="Roboto Light" w:hAnsi="Roboto Light"/>
                <w:b/>
                <w:bCs/>
                <w:i/>
                <w:color w:val="auto"/>
                <w:spacing w:val="-2"/>
                <w:sz w:val="18"/>
                <w:szCs w:val="19"/>
              </w:rPr>
            </w:pPr>
            <w:r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lastRenderedPageBreak/>
              <w:t xml:space="preserve">Wykres </w:t>
            </w:r>
            <w:r w:rsidR="00BF56AF"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>5</w:t>
            </w:r>
            <w:r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 xml:space="preserve">: </w:t>
            </w:r>
            <w:r w:rsidR="0084376C" w:rsidRPr="0084376C"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>Jak oceniają Państwo obecną sytuację finansową swego gospodarstwa domowego w porównaniu z sytuacją sprzed 12 miesięcy</w:t>
            </w:r>
            <w:r w:rsidR="00E84FC3"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 xml:space="preserve"> (odsetek optymistów i pesymistów)</w:t>
            </w:r>
            <w:r w:rsidR="0084376C">
              <w:rPr>
                <w:rFonts w:ascii="Roboto Light" w:hAnsi="Roboto Light"/>
                <w:b/>
                <w:bCs/>
                <w:iCs/>
                <w:color w:val="auto"/>
                <w:spacing w:val="-2"/>
                <w:sz w:val="22"/>
                <w:szCs w:val="22"/>
              </w:rPr>
              <w:t>.</w:t>
            </w:r>
          </w:p>
        </w:tc>
      </w:tr>
      <w:tr w:rsidR="005139FC" w14:paraId="7FF0B68C" w14:textId="77777777" w:rsidTr="00BF56AF">
        <w:tblPrEx>
          <w:tblCellMar>
            <w:left w:w="70" w:type="dxa"/>
            <w:right w:w="70" w:type="dxa"/>
          </w:tblCellMar>
        </w:tblPrEx>
        <w:tc>
          <w:tcPr>
            <w:tcW w:w="9180" w:type="dxa"/>
          </w:tcPr>
          <w:p w14:paraId="4BCCF12E" w14:textId="0E1D7C37" w:rsidR="005139FC" w:rsidRDefault="00BF56AF" w:rsidP="00E71761">
            <w:pPr>
              <w:spacing w:line="276" w:lineRule="auto"/>
              <w:jc w:val="center"/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C330554" wp14:editId="6C601598">
                  <wp:extent cx="5760720" cy="5774690"/>
                  <wp:effectExtent l="0" t="0" r="0" b="0"/>
                  <wp:docPr id="1" name="Obraz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674997-C441-49E6-A01D-4AE6887205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>
                            <a:extLst>
                              <a:ext uri="{FF2B5EF4-FFF2-40B4-BE49-F238E27FC236}">
                                <a16:creationId xmlns:a16="http://schemas.microsoft.com/office/drawing/2014/main" id="{96674997-C441-49E6-A01D-4AE6887205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7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4D48DB" w14:textId="21B9B174" w:rsidR="005139FC" w:rsidRDefault="005139FC" w:rsidP="00E71761">
            <w:pPr>
              <w:spacing w:line="276" w:lineRule="auto"/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</w:pPr>
            <w:r w:rsidRPr="00A32ECF"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>Źródło: IRG</w:t>
            </w:r>
            <w:r w:rsidR="00ED6C40"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 xml:space="preserve"> SGH i </w:t>
            </w:r>
            <w:r w:rsidRPr="00A32ECF"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>ZPF, N=</w:t>
            </w:r>
            <w:r w:rsidR="007136CC">
              <w:rPr>
                <w:rFonts w:ascii="Roboto Light" w:hAnsi="Roboto Light"/>
                <w:iCs/>
                <w:color w:val="auto"/>
                <w:spacing w:val="-2"/>
                <w:sz w:val="18"/>
                <w:szCs w:val="19"/>
              </w:rPr>
              <w:t>1000</w:t>
            </w:r>
          </w:p>
        </w:tc>
      </w:tr>
    </w:tbl>
    <w:p w14:paraId="05208A77" w14:textId="59A1175F" w:rsidR="00CD021B" w:rsidRDefault="00CD021B" w:rsidP="00327E6B">
      <w:pPr>
        <w:spacing w:line="276" w:lineRule="auto"/>
        <w:jc w:val="both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140A8CB4" w14:textId="73C48C29" w:rsidR="003A4C78" w:rsidRDefault="003A4C78" w:rsidP="00327E6B">
      <w:pPr>
        <w:spacing w:line="276" w:lineRule="auto"/>
        <w:jc w:val="both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5641F8A1" w14:textId="3BEC1C85" w:rsidR="003A4C78" w:rsidRDefault="003A4C78" w:rsidP="00327E6B">
      <w:pPr>
        <w:spacing w:line="276" w:lineRule="auto"/>
        <w:jc w:val="both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6C0EE099" w14:textId="11CB35F6" w:rsidR="003A4C78" w:rsidRDefault="003A4C78" w:rsidP="00327E6B">
      <w:pPr>
        <w:spacing w:line="276" w:lineRule="auto"/>
        <w:jc w:val="both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3BE1D2E4" w14:textId="61645B54" w:rsidR="003A4C78" w:rsidRDefault="003A4C78" w:rsidP="00327E6B">
      <w:pPr>
        <w:spacing w:line="276" w:lineRule="auto"/>
        <w:jc w:val="both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621091EF" w14:textId="249B21AE" w:rsidR="003A4C78" w:rsidRDefault="003A4C78" w:rsidP="00327E6B">
      <w:pPr>
        <w:spacing w:line="276" w:lineRule="auto"/>
        <w:jc w:val="both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6E67E0D5" w14:textId="6192D26D" w:rsidR="003C164A" w:rsidRDefault="003C164A" w:rsidP="00327E6B">
      <w:pPr>
        <w:spacing w:line="276" w:lineRule="auto"/>
        <w:jc w:val="both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2215099B" w14:textId="1C1E4CC9" w:rsidR="003C164A" w:rsidRDefault="003C164A" w:rsidP="00327E6B">
      <w:pPr>
        <w:spacing w:line="276" w:lineRule="auto"/>
        <w:jc w:val="both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51748DD1" w14:textId="7F7159BF" w:rsidR="003C164A" w:rsidRDefault="003C164A" w:rsidP="00327E6B">
      <w:pPr>
        <w:spacing w:line="276" w:lineRule="auto"/>
        <w:jc w:val="both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3A8CF7E3" w14:textId="77777777" w:rsidR="003C164A" w:rsidRDefault="003C164A" w:rsidP="00327E6B">
      <w:pPr>
        <w:spacing w:line="276" w:lineRule="auto"/>
        <w:jc w:val="both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01ECA2E7" w14:textId="6E322699" w:rsidR="003A4C78" w:rsidRDefault="003A4C78" w:rsidP="00327E6B">
      <w:pPr>
        <w:spacing w:line="276" w:lineRule="auto"/>
        <w:jc w:val="both"/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p w14:paraId="6492589B" w14:textId="1B256EBF" w:rsidR="00CD021B" w:rsidRPr="00543E6C" w:rsidRDefault="00CD021B" w:rsidP="003C164A">
      <w:pPr>
        <w:rPr>
          <w:rFonts w:ascii="Roboto Light" w:hAnsi="Roboto Light"/>
          <w:iCs/>
          <w:color w:val="auto"/>
          <w:spacing w:val="-2"/>
          <w:sz w:val="24"/>
          <w:szCs w:val="24"/>
        </w:rPr>
      </w:pPr>
    </w:p>
    <w:sectPr w:rsidR="00CD021B" w:rsidRPr="00543E6C" w:rsidSect="008804FC">
      <w:footerReference w:type="default" r:id="rId17"/>
      <w:type w:val="continuous"/>
      <w:pgSz w:w="11906" w:h="16838"/>
      <w:pgMar w:top="1417" w:right="1417" w:bottom="1417" w:left="1417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A9816" w14:textId="77777777" w:rsidR="0037670B" w:rsidRDefault="0037670B">
      <w:r>
        <w:separator/>
      </w:r>
    </w:p>
    <w:p w14:paraId="52D9597C" w14:textId="77777777" w:rsidR="0037670B" w:rsidRDefault="0037670B"/>
  </w:endnote>
  <w:endnote w:type="continuationSeparator" w:id="0">
    <w:p w14:paraId="0BBC7C75" w14:textId="77777777" w:rsidR="0037670B" w:rsidRDefault="0037670B">
      <w:r>
        <w:continuationSeparator/>
      </w:r>
    </w:p>
    <w:p w14:paraId="58FF4D13" w14:textId="77777777" w:rsidR="0037670B" w:rsidRDefault="00376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chivo Medium">
    <w:altName w:val="Calibri"/>
    <w:charset w:val="EE"/>
    <w:family w:val="swiss"/>
    <w:pitch w:val="variable"/>
    <w:sig w:usb0="2000000F" w:usb1="00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rchivo">
    <w:altName w:val="Calibri"/>
    <w:charset w:val="EE"/>
    <w:family w:val="swiss"/>
    <w:pitch w:val="variable"/>
    <w:sig w:usb0="2000000F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CE81" w14:textId="1425D0D4" w:rsidR="000335EB" w:rsidRPr="0046161A" w:rsidRDefault="00B472A4" w:rsidP="00B472A4">
    <w:pPr>
      <w:pStyle w:val="Stopka"/>
      <w:tabs>
        <w:tab w:val="clear" w:pos="4536"/>
        <w:tab w:val="clear" w:pos="9072"/>
        <w:tab w:val="right" w:pos="9855"/>
      </w:tabs>
      <w:jc w:val="center"/>
      <w:rPr>
        <w:rFonts w:ascii="Archivo" w:hAnsi="Archivo" w:cs="Segoe UI"/>
        <w:color w:val="404040" w:themeColor="text1" w:themeTint="BF"/>
        <w:sz w:val="17"/>
        <w:szCs w:val="17"/>
      </w:rPr>
    </w:pPr>
    <w:r>
      <w:rPr>
        <w:rFonts w:ascii="Archivo" w:hAnsi="Archivo" w:cs="Segoe UI"/>
        <w:color w:val="404040" w:themeColor="text1" w:themeTint="BF"/>
        <w:sz w:val="17"/>
        <w:szCs w:val="17"/>
      </w:rPr>
      <w:tab/>
    </w:r>
    <w:r w:rsidR="0046161A" w:rsidRPr="0046161A">
      <w:rPr>
        <w:rFonts w:ascii="Archivo" w:hAnsi="Archivo" w:cs="Segoe UI"/>
        <w:color w:val="404040" w:themeColor="text1" w:themeTint="BF"/>
        <w:sz w:val="17"/>
        <w:szCs w:val="17"/>
      </w:rPr>
      <w:fldChar w:fldCharType="begin"/>
    </w:r>
    <w:r w:rsidR="0046161A" w:rsidRPr="0046161A">
      <w:rPr>
        <w:rFonts w:ascii="Archivo" w:hAnsi="Archivo" w:cs="Segoe UI"/>
        <w:color w:val="404040" w:themeColor="text1" w:themeTint="BF"/>
        <w:sz w:val="17"/>
        <w:szCs w:val="17"/>
      </w:rPr>
      <w:instrText xml:space="preserve"> PAGE   \* MERGEFORMAT </w:instrText>
    </w:r>
    <w:r w:rsidR="0046161A" w:rsidRPr="0046161A">
      <w:rPr>
        <w:rFonts w:ascii="Archivo" w:hAnsi="Archivo" w:cs="Segoe UI"/>
        <w:color w:val="404040" w:themeColor="text1" w:themeTint="BF"/>
        <w:sz w:val="17"/>
        <w:szCs w:val="17"/>
      </w:rPr>
      <w:fldChar w:fldCharType="separate"/>
    </w:r>
    <w:r w:rsidR="00A25713">
      <w:rPr>
        <w:rFonts w:ascii="Archivo" w:hAnsi="Archivo" w:cs="Segoe UI"/>
        <w:noProof/>
        <w:color w:val="404040" w:themeColor="text1" w:themeTint="BF"/>
        <w:sz w:val="17"/>
        <w:szCs w:val="17"/>
      </w:rPr>
      <w:t>2</w:t>
    </w:r>
    <w:r w:rsidR="0046161A" w:rsidRPr="0046161A">
      <w:rPr>
        <w:rFonts w:ascii="Archivo" w:hAnsi="Archivo" w:cs="Segoe UI"/>
        <w:color w:val="404040" w:themeColor="text1" w:themeTint="BF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A7AC" w14:textId="77777777" w:rsidR="0037670B" w:rsidRDefault="0037670B">
      <w:r>
        <w:separator/>
      </w:r>
    </w:p>
    <w:p w14:paraId="1AAB63C1" w14:textId="77777777" w:rsidR="0037670B" w:rsidRDefault="0037670B"/>
  </w:footnote>
  <w:footnote w:type="continuationSeparator" w:id="0">
    <w:p w14:paraId="7C86D065" w14:textId="77777777" w:rsidR="0037670B" w:rsidRDefault="0037670B">
      <w:r>
        <w:continuationSeparator/>
      </w:r>
    </w:p>
    <w:p w14:paraId="5AF5AE52" w14:textId="77777777" w:rsidR="0037670B" w:rsidRDefault="0037670B"/>
  </w:footnote>
  <w:footnote w:id="1">
    <w:p w14:paraId="6C9D4346" w14:textId="2C37B2BD" w:rsidR="002B0546" w:rsidRDefault="002B0546">
      <w:pPr>
        <w:pStyle w:val="Tekstprzypisudolnego"/>
      </w:pPr>
      <w:r>
        <w:rPr>
          <w:rStyle w:val="Odwoanieprzypisudolnego"/>
        </w:rPr>
        <w:footnoteRef/>
      </w:r>
      <w:r>
        <w:t xml:space="preserve"> N=1000 CATI/CAWI – BIOSTAT. Badanie cykliczne, kwartalne prowadzone od 1990 r. </w:t>
      </w:r>
      <w:r w:rsidRPr="002B0546">
        <w:t>Badanie było prowadzone od 29 października do 4 listopada br. A więc zaraz po ogłoszeniu wzrostu inflacji do poziomu ok. 7% (szybki szacunek GUS – 29.10.2021). Badanie tylko częściowo może być też pod wpływem decyzji o podwyżce stóp procentowych</w:t>
      </w:r>
      <w:r>
        <w:t xml:space="preserve"> (RPP – 3.11.2021)</w:t>
      </w:r>
      <w:r w:rsidRPr="002B0546">
        <w:t xml:space="preserve"> i zmiany retoryki NBP. Ok. 15% próby było badane po 3 listopada br.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6482DD8"/>
    <w:multiLevelType w:val="hybridMultilevel"/>
    <w:tmpl w:val="EB3A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5"/>
  </w:num>
  <w:num w:numId="7">
    <w:abstractNumId w:val="1"/>
  </w:num>
  <w:num w:numId="8">
    <w:abstractNumId w:val="9"/>
  </w:num>
  <w:num w:numId="9">
    <w:abstractNumId w:val="7"/>
  </w:num>
  <w:num w:numId="10">
    <w:abstractNumId w:val="22"/>
  </w:num>
  <w:num w:numId="11">
    <w:abstractNumId w:val="11"/>
  </w:num>
  <w:num w:numId="12">
    <w:abstractNumId w:val="20"/>
  </w:num>
  <w:num w:numId="13">
    <w:abstractNumId w:val="14"/>
  </w:num>
  <w:num w:numId="14">
    <w:abstractNumId w:val="17"/>
  </w:num>
  <w:num w:numId="15">
    <w:abstractNumId w:val="23"/>
  </w:num>
  <w:num w:numId="16">
    <w:abstractNumId w:val="24"/>
  </w:num>
  <w:num w:numId="17">
    <w:abstractNumId w:val="18"/>
  </w:num>
  <w:num w:numId="18">
    <w:abstractNumId w:val="10"/>
  </w:num>
  <w:num w:numId="19">
    <w:abstractNumId w:val="19"/>
  </w:num>
  <w:num w:numId="20">
    <w:abstractNumId w:val="13"/>
  </w:num>
  <w:num w:numId="21">
    <w:abstractNumId w:val="25"/>
  </w:num>
  <w:num w:numId="22">
    <w:abstractNumId w:val="2"/>
  </w:num>
  <w:num w:numId="23">
    <w:abstractNumId w:val="16"/>
  </w:num>
  <w:num w:numId="24">
    <w:abstractNumId w:val="28"/>
  </w:num>
  <w:num w:numId="25">
    <w:abstractNumId w:val="5"/>
  </w:num>
  <w:num w:numId="26">
    <w:abstractNumId w:val="0"/>
  </w:num>
  <w:num w:numId="27">
    <w:abstractNumId w:val="21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A4"/>
    <w:rsid w:val="00000377"/>
    <w:rsid w:val="00001F48"/>
    <w:rsid w:val="000030E3"/>
    <w:rsid w:val="00007920"/>
    <w:rsid w:val="000121D3"/>
    <w:rsid w:val="000126CB"/>
    <w:rsid w:val="00015F64"/>
    <w:rsid w:val="000207BC"/>
    <w:rsid w:val="000211E4"/>
    <w:rsid w:val="0003009B"/>
    <w:rsid w:val="00032E27"/>
    <w:rsid w:val="000335EB"/>
    <w:rsid w:val="00034E0F"/>
    <w:rsid w:val="00037674"/>
    <w:rsid w:val="00040BCC"/>
    <w:rsid w:val="00041C5A"/>
    <w:rsid w:val="000447D8"/>
    <w:rsid w:val="000454DB"/>
    <w:rsid w:val="00045554"/>
    <w:rsid w:val="000561AD"/>
    <w:rsid w:val="000564EE"/>
    <w:rsid w:val="00066F16"/>
    <w:rsid w:val="0007040E"/>
    <w:rsid w:val="00070760"/>
    <w:rsid w:val="00074B35"/>
    <w:rsid w:val="00076BAA"/>
    <w:rsid w:val="00077D6F"/>
    <w:rsid w:val="0008074C"/>
    <w:rsid w:val="00084120"/>
    <w:rsid w:val="00085133"/>
    <w:rsid w:val="000900B7"/>
    <w:rsid w:val="0009035D"/>
    <w:rsid w:val="00090D19"/>
    <w:rsid w:val="00095643"/>
    <w:rsid w:val="000A1B9D"/>
    <w:rsid w:val="000B2944"/>
    <w:rsid w:val="000B3DCE"/>
    <w:rsid w:val="000C32C3"/>
    <w:rsid w:val="000C55E0"/>
    <w:rsid w:val="000D1E5B"/>
    <w:rsid w:val="000D247B"/>
    <w:rsid w:val="000D293E"/>
    <w:rsid w:val="000D422E"/>
    <w:rsid w:val="000D5814"/>
    <w:rsid w:val="000D702D"/>
    <w:rsid w:val="000E2CBD"/>
    <w:rsid w:val="000E394B"/>
    <w:rsid w:val="000E47C7"/>
    <w:rsid w:val="000E529A"/>
    <w:rsid w:val="000F06DA"/>
    <w:rsid w:val="000F1DC1"/>
    <w:rsid w:val="000F497A"/>
    <w:rsid w:val="000F75A0"/>
    <w:rsid w:val="000F7D1D"/>
    <w:rsid w:val="00100A0D"/>
    <w:rsid w:val="00101394"/>
    <w:rsid w:val="00102A64"/>
    <w:rsid w:val="00102EC5"/>
    <w:rsid w:val="00105A95"/>
    <w:rsid w:val="00106601"/>
    <w:rsid w:val="00111582"/>
    <w:rsid w:val="00112FDC"/>
    <w:rsid w:val="00113652"/>
    <w:rsid w:val="00127CC0"/>
    <w:rsid w:val="001369FB"/>
    <w:rsid w:val="00136A94"/>
    <w:rsid w:val="001377EF"/>
    <w:rsid w:val="00151D26"/>
    <w:rsid w:val="00153B6C"/>
    <w:rsid w:val="00153FFF"/>
    <w:rsid w:val="00157AB9"/>
    <w:rsid w:val="001614B3"/>
    <w:rsid w:val="0016767D"/>
    <w:rsid w:val="001714A3"/>
    <w:rsid w:val="0017230A"/>
    <w:rsid w:val="001742B1"/>
    <w:rsid w:val="00174FBD"/>
    <w:rsid w:val="00184283"/>
    <w:rsid w:val="00184658"/>
    <w:rsid w:val="001870B1"/>
    <w:rsid w:val="00191437"/>
    <w:rsid w:val="00191FF9"/>
    <w:rsid w:val="001946E0"/>
    <w:rsid w:val="00196B0C"/>
    <w:rsid w:val="001971C2"/>
    <w:rsid w:val="001A1383"/>
    <w:rsid w:val="001A2B41"/>
    <w:rsid w:val="001A41BD"/>
    <w:rsid w:val="001A4906"/>
    <w:rsid w:val="001A7E29"/>
    <w:rsid w:val="001B0F28"/>
    <w:rsid w:val="001B351E"/>
    <w:rsid w:val="001B3A7B"/>
    <w:rsid w:val="001B48B8"/>
    <w:rsid w:val="001B5624"/>
    <w:rsid w:val="001C6478"/>
    <w:rsid w:val="001C76D4"/>
    <w:rsid w:val="001D1C13"/>
    <w:rsid w:val="001E0A16"/>
    <w:rsid w:val="001E4140"/>
    <w:rsid w:val="001E62CC"/>
    <w:rsid w:val="001E7FC7"/>
    <w:rsid w:val="001F22BD"/>
    <w:rsid w:val="001F2443"/>
    <w:rsid w:val="001F4E08"/>
    <w:rsid w:val="001F5E98"/>
    <w:rsid w:val="002005F6"/>
    <w:rsid w:val="0020282C"/>
    <w:rsid w:val="00202D11"/>
    <w:rsid w:val="002079B7"/>
    <w:rsid w:val="0021523F"/>
    <w:rsid w:val="00216124"/>
    <w:rsid w:val="0021733C"/>
    <w:rsid w:val="00217AB9"/>
    <w:rsid w:val="00223952"/>
    <w:rsid w:val="0022396F"/>
    <w:rsid w:val="0022703D"/>
    <w:rsid w:val="0023036B"/>
    <w:rsid w:val="00231589"/>
    <w:rsid w:val="002321F2"/>
    <w:rsid w:val="002325CA"/>
    <w:rsid w:val="00233C46"/>
    <w:rsid w:val="0023554B"/>
    <w:rsid w:val="002373DD"/>
    <w:rsid w:val="00242FAD"/>
    <w:rsid w:val="00244A91"/>
    <w:rsid w:val="002471E3"/>
    <w:rsid w:val="002515DE"/>
    <w:rsid w:val="00251A77"/>
    <w:rsid w:val="00253EA1"/>
    <w:rsid w:val="00254ADF"/>
    <w:rsid w:val="0025603C"/>
    <w:rsid w:val="002602E1"/>
    <w:rsid w:val="0026044A"/>
    <w:rsid w:val="0026103A"/>
    <w:rsid w:val="002615CD"/>
    <w:rsid w:val="002634CD"/>
    <w:rsid w:val="002649B7"/>
    <w:rsid w:val="002676DB"/>
    <w:rsid w:val="00267A52"/>
    <w:rsid w:val="00275683"/>
    <w:rsid w:val="002760CD"/>
    <w:rsid w:val="002771B0"/>
    <w:rsid w:val="00285959"/>
    <w:rsid w:val="00286BDB"/>
    <w:rsid w:val="00287290"/>
    <w:rsid w:val="00291AAF"/>
    <w:rsid w:val="00292A48"/>
    <w:rsid w:val="00295807"/>
    <w:rsid w:val="002964D4"/>
    <w:rsid w:val="002A5C19"/>
    <w:rsid w:val="002A7B21"/>
    <w:rsid w:val="002B0546"/>
    <w:rsid w:val="002B748A"/>
    <w:rsid w:val="002C29C9"/>
    <w:rsid w:val="002C4DF7"/>
    <w:rsid w:val="002C611F"/>
    <w:rsid w:val="002C6941"/>
    <w:rsid w:val="002C6A8E"/>
    <w:rsid w:val="002C76E3"/>
    <w:rsid w:val="002D09CC"/>
    <w:rsid w:val="002D131B"/>
    <w:rsid w:val="002D4FAE"/>
    <w:rsid w:val="002D5827"/>
    <w:rsid w:val="002D5FE3"/>
    <w:rsid w:val="002E219C"/>
    <w:rsid w:val="002E3235"/>
    <w:rsid w:val="002E505F"/>
    <w:rsid w:val="002E75CF"/>
    <w:rsid w:val="002F59E4"/>
    <w:rsid w:val="002F5DA1"/>
    <w:rsid w:val="00301996"/>
    <w:rsid w:val="003041C3"/>
    <w:rsid w:val="00307C91"/>
    <w:rsid w:val="00311293"/>
    <w:rsid w:val="003155F3"/>
    <w:rsid w:val="0032410E"/>
    <w:rsid w:val="00324215"/>
    <w:rsid w:val="0032474C"/>
    <w:rsid w:val="0032603E"/>
    <w:rsid w:val="00327E6B"/>
    <w:rsid w:val="00332A30"/>
    <w:rsid w:val="00334846"/>
    <w:rsid w:val="00337BB1"/>
    <w:rsid w:val="00337D86"/>
    <w:rsid w:val="00340737"/>
    <w:rsid w:val="00346D41"/>
    <w:rsid w:val="003535BE"/>
    <w:rsid w:val="00353687"/>
    <w:rsid w:val="003542BD"/>
    <w:rsid w:val="0035439E"/>
    <w:rsid w:val="00355DDB"/>
    <w:rsid w:val="0035717B"/>
    <w:rsid w:val="003624B5"/>
    <w:rsid w:val="00370770"/>
    <w:rsid w:val="0037670B"/>
    <w:rsid w:val="0038319E"/>
    <w:rsid w:val="00383567"/>
    <w:rsid w:val="003856F9"/>
    <w:rsid w:val="00393128"/>
    <w:rsid w:val="0039354B"/>
    <w:rsid w:val="00393CFA"/>
    <w:rsid w:val="00396863"/>
    <w:rsid w:val="00396B92"/>
    <w:rsid w:val="00397E20"/>
    <w:rsid w:val="003A19D8"/>
    <w:rsid w:val="003A291F"/>
    <w:rsid w:val="003A2F08"/>
    <w:rsid w:val="003A3A7D"/>
    <w:rsid w:val="003A47DC"/>
    <w:rsid w:val="003A4C78"/>
    <w:rsid w:val="003A55C8"/>
    <w:rsid w:val="003B120D"/>
    <w:rsid w:val="003B2DBD"/>
    <w:rsid w:val="003B5D3E"/>
    <w:rsid w:val="003B64C0"/>
    <w:rsid w:val="003C0983"/>
    <w:rsid w:val="003C164A"/>
    <w:rsid w:val="003C6167"/>
    <w:rsid w:val="003C69D9"/>
    <w:rsid w:val="003C7BCA"/>
    <w:rsid w:val="003D01A2"/>
    <w:rsid w:val="003D0519"/>
    <w:rsid w:val="003E1416"/>
    <w:rsid w:val="003E18E3"/>
    <w:rsid w:val="003E2FF8"/>
    <w:rsid w:val="003E30D9"/>
    <w:rsid w:val="003E3938"/>
    <w:rsid w:val="003E65F6"/>
    <w:rsid w:val="003F36BC"/>
    <w:rsid w:val="003F5330"/>
    <w:rsid w:val="003F61C7"/>
    <w:rsid w:val="0040605B"/>
    <w:rsid w:val="00406857"/>
    <w:rsid w:val="00413476"/>
    <w:rsid w:val="00414EDA"/>
    <w:rsid w:val="00415463"/>
    <w:rsid w:val="00420604"/>
    <w:rsid w:val="00423AAA"/>
    <w:rsid w:val="0042530F"/>
    <w:rsid w:val="004258A9"/>
    <w:rsid w:val="00425F47"/>
    <w:rsid w:val="00427B1A"/>
    <w:rsid w:val="004325F4"/>
    <w:rsid w:val="00435EBF"/>
    <w:rsid w:val="004370C8"/>
    <w:rsid w:val="00440281"/>
    <w:rsid w:val="00441142"/>
    <w:rsid w:val="00451A7D"/>
    <w:rsid w:val="0045679A"/>
    <w:rsid w:val="00457C92"/>
    <w:rsid w:val="0046161A"/>
    <w:rsid w:val="004676B6"/>
    <w:rsid w:val="004708CA"/>
    <w:rsid w:val="004719F3"/>
    <w:rsid w:val="00472274"/>
    <w:rsid w:val="00472A7D"/>
    <w:rsid w:val="00473679"/>
    <w:rsid w:val="00480A6F"/>
    <w:rsid w:val="0048396E"/>
    <w:rsid w:val="00485FBC"/>
    <w:rsid w:val="0049077E"/>
    <w:rsid w:val="00492876"/>
    <w:rsid w:val="00494EC1"/>
    <w:rsid w:val="00495C7A"/>
    <w:rsid w:val="004A0D43"/>
    <w:rsid w:val="004A146D"/>
    <w:rsid w:val="004A1472"/>
    <w:rsid w:val="004A218B"/>
    <w:rsid w:val="004A3A5D"/>
    <w:rsid w:val="004A658F"/>
    <w:rsid w:val="004B0853"/>
    <w:rsid w:val="004B0CBC"/>
    <w:rsid w:val="004B11B0"/>
    <w:rsid w:val="004B5572"/>
    <w:rsid w:val="004B7A9A"/>
    <w:rsid w:val="004C16F4"/>
    <w:rsid w:val="004C3955"/>
    <w:rsid w:val="004C5CFD"/>
    <w:rsid w:val="004C5F39"/>
    <w:rsid w:val="004C7300"/>
    <w:rsid w:val="004D3BB0"/>
    <w:rsid w:val="004D49FC"/>
    <w:rsid w:val="004D5DA7"/>
    <w:rsid w:val="004E1AFB"/>
    <w:rsid w:val="004E4626"/>
    <w:rsid w:val="004F121F"/>
    <w:rsid w:val="004F5559"/>
    <w:rsid w:val="004F572C"/>
    <w:rsid w:val="004F64FD"/>
    <w:rsid w:val="00500720"/>
    <w:rsid w:val="00504820"/>
    <w:rsid w:val="005057A0"/>
    <w:rsid w:val="00510E54"/>
    <w:rsid w:val="00513533"/>
    <w:rsid w:val="005139FC"/>
    <w:rsid w:val="00520926"/>
    <w:rsid w:val="00521F79"/>
    <w:rsid w:val="0052381C"/>
    <w:rsid w:val="00526C50"/>
    <w:rsid w:val="005302C0"/>
    <w:rsid w:val="00536EE3"/>
    <w:rsid w:val="00540882"/>
    <w:rsid w:val="00543130"/>
    <w:rsid w:val="00543E6C"/>
    <w:rsid w:val="00546FC6"/>
    <w:rsid w:val="0055027C"/>
    <w:rsid w:val="00551472"/>
    <w:rsid w:val="005544A0"/>
    <w:rsid w:val="0056499C"/>
    <w:rsid w:val="0056559C"/>
    <w:rsid w:val="0056642D"/>
    <w:rsid w:val="005707A5"/>
    <w:rsid w:val="005762E8"/>
    <w:rsid w:val="00576DCF"/>
    <w:rsid w:val="00577C38"/>
    <w:rsid w:val="00580B71"/>
    <w:rsid w:val="00581939"/>
    <w:rsid w:val="00582B08"/>
    <w:rsid w:val="005833FF"/>
    <w:rsid w:val="005834DF"/>
    <w:rsid w:val="00585307"/>
    <w:rsid w:val="0059133D"/>
    <w:rsid w:val="005958CA"/>
    <w:rsid w:val="005960D1"/>
    <w:rsid w:val="005A5757"/>
    <w:rsid w:val="005B3916"/>
    <w:rsid w:val="005B5134"/>
    <w:rsid w:val="005C6668"/>
    <w:rsid w:val="005D160D"/>
    <w:rsid w:val="005D17E1"/>
    <w:rsid w:val="005D2508"/>
    <w:rsid w:val="005D4566"/>
    <w:rsid w:val="005D4C7C"/>
    <w:rsid w:val="005E59A2"/>
    <w:rsid w:val="005F06E1"/>
    <w:rsid w:val="005F40AF"/>
    <w:rsid w:val="005F48CE"/>
    <w:rsid w:val="005F6336"/>
    <w:rsid w:val="005F7BAD"/>
    <w:rsid w:val="00601C82"/>
    <w:rsid w:val="0060372A"/>
    <w:rsid w:val="00607205"/>
    <w:rsid w:val="00611715"/>
    <w:rsid w:val="00614D0F"/>
    <w:rsid w:val="006179DF"/>
    <w:rsid w:val="00620C37"/>
    <w:rsid w:val="0062183E"/>
    <w:rsid w:val="00621F91"/>
    <w:rsid w:val="00623A74"/>
    <w:rsid w:val="00624B99"/>
    <w:rsid w:val="00630CED"/>
    <w:rsid w:val="00631B08"/>
    <w:rsid w:val="00631C5E"/>
    <w:rsid w:val="0063454C"/>
    <w:rsid w:val="006349AB"/>
    <w:rsid w:val="006369B8"/>
    <w:rsid w:val="006408F0"/>
    <w:rsid w:val="006425CE"/>
    <w:rsid w:val="00644B87"/>
    <w:rsid w:val="006461F1"/>
    <w:rsid w:val="006478D1"/>
    <w:rsid w:val="00652808"/>
    <w:rsid w:val="0065306D"/>
    <w:rsid w:val="00653B4C"/>
    <w:rsid w:val="00654E06"/>
    <w:rsid w:val="0066062E"/>
    <w:rsid w:val="00660B70"/>
    <w:rsid w:val="00660B85"/>
    <w:rsid w:val="006760B7"/>
    <w:rsid w:val="00677A1E"/>
    <w:rsid w:val="0068020C"/>
    <w:rsid w:val="00680407"/>
    <w:rsid w:val="006814F6"/>
    <w:rsid w:val="00682C8E"/>
    <w:rsid w:val="00683906"/>
    <w:rsid w:val="00685378"/>
    <w:rsid w:val="0068631B"/>
    <w:rsid w:val="0069088C"/>
    <w:rsid w:val="00691985"/>
    <w:rsid w:val="00692AF0"/>
    <w:rsid w:val="006949B0"/>
    <w:rsid w:val="00696B3C"/>
    <w:rsid w:val="006A26CA"/>
    <w:rsid w:val="006A525A"/>
    <w:rsid w:val="006A7227"/>
    <w:rsid w:val="006B2102"/>
    <w:rsid w:val="006C33E6"/>
    <w:rsid w:val="006C574D"/>
    <w:rsid w:val="006C70A4"/>
    <w:rsid w:val="006D29DE"/>
    <w:rsid w:val="006D5E62"/>
    <w:rsid w:val="006E12B2"/>
    <w:rsid w:val="006E325D"/>
    <w:rsid w:val="006E6067"/>
    <w:rsid w:val="006E7543"/>
    <w:rsid w:val="006F0804"/>
    <w:rsid w:val="006F616B"/>
    <w:rsid w:val="00700D56"/>
    <w:rsid w:val="00701564"/>
    <w:rsid w:val="00701A58"/>
    <w:rsid w:val="00703BDE"/>
    <w:rsid w:val="00703E18"/>
    <w:rsid w:val="00704F86"/>
    <w:rsid w:val="00707225"/>
    <w:rsid w:val="00707260"/>
    <w:rsid w:val="00711E62"/>
    <w:rsid w:val="007122CE"/>
    <w:rsid w:val="00712902"/>
    <w:rsid w:val="007136CC"/>
    <w:rsid w:val="007144DB"/>
    <w:rsid w:val="00714BDE"/>
    <w:rsid w:val="00714D90"/>
    <w:rsid w:val="00715782"/>
    <w:rsid w:val="0071681F"/>
    <w:rsid w:val="007169B4"/>
    <w:rsid w:val="00721144"/>
    <w:rsid w:val="007222A4"/>
    <w:rsid w:val="007238FB"/>
    <w:rsid w:val="00724C7D"/>
    <w:rsid w:val="00725670"/>
    <w:rsid w:val="0072586F"/>
    <w:rsid w:val="0073015E"/>
    <w:rsid w:val="007336E0"/>
    <w:rsid w:val="00741ACE"/>
    <w:rsid w:val="00746695"/>
    <w:rsid w:val="00752D5A"/>
    <w:rsid w:val="00756CC6"/>
    <w:rsid w:val="00760B91"/>
    <w:rsid w:val="007620A9"/>
    <w:rsid w:val="007630E9"/>
    <w:rsid w:val="00767697"/>
    <w:rsid w:val="0077771A"/>
    <w:rsid w:val="007812DD"/>
    <w:rsid w:val="007822C8"/>
    <w:rsid w:val="00782B3C"/>
    <w:rsid w:val="00782FB0"/>
    <w:rsid w:val="00795027"/>
    <w:rsid w:val="00796D5A"/>
    <w:rsid w:val="007A0704"/>
    <w:rsid w:val="007A2931"/>
    <w:rsid w:val="007A6FEC"/>
    <w:rsid w:val="007B1723"/>
    <w:rsid w:val="007B38A0"/>
    <w:rsid w:val="007B5989"/>
    <w:rsid w:val="007B74FA"/>
    <w:rsid w:val="007B79AB"/>
    <w:rsid w:val="007C3A11"/>
    <w:rsid w:val="007C481A"/>
    <w:rsid w:val="007D7402"/>
    <w:rsid w:val="007E2CC5"/>
    <w:rsid w:val="007E360B"/>
    <w:rsid w:val="007E4081"/>
    <w:rsid w:val="007F47B8"/>
    <w:rsid w:val="007F4DF5"/>
    <w:rsid w:val="007F547A"/>
    <w:rsid w:val="00804E1A"/>
    <w:rsid w:val="0080536A"/>
    <w:rsid w:val="008068F3"/>
    <w:rsid w:val="00814D5C"/>
    <w:rsid w:val="00822CCD"/>
    <w:rsid w:val="00823817"/>
    <w:rsid w:val="00823DF5"/>
    <w:rsid w:val="00825E6D"/>
    <w:rsid w:val="00826D74"/>
    <w:rsid w:val="00827EEB"/>
    <w:rsid w:val="00831856"/>
    <w:rsid w:val="008348EC"/>
    <w:rsid w:val="00840490"/>
    <w:rsid w:val="00841C63"/>
    <w:rsid w:val="0084376C"/>
    <w:rsid w:val="00843C4C"/>
    <w:rsid w:val="00844115"/>
    <w:rsid w:val="00844B20"/>
    <w:rsid w:val="0084658C"/>
    <w:rsid w:val="00851A2A"/>
    <w:rsid w:val="00851BAA"/>
    <w:rsid w:val="00853FB1"/>
    <w:rsid w:val="008563F4"/>
    <w:rsid w:val="00857DC1"/>
    <w:rsid w:val="008611DB"/>
    <w:rsid w:val="00861D2B"/>
    <w:rsid w:val="00862198"/>
    <w:rsid w:val="00862203"/>
    <w:rsid w:val="00862B9D"/>
    <w:rsid w:val="00867C09"/>
    <w:rsid w:val="00867F64"/>
    <w:rsid w:val="00875CDD"/>
    <w:rsid w:val="008804FC"/>
    <w:rsid w:val="008829B5"/>
    <w:rsid w:val="00883FF8"/>
    <w:rsid w:val="00885910"/>
    <w:rsid w:val="00885E74"/>
    <w:rsid w:val="00886B01"/>
    <w:rsid w:val="00893405"/>
    <w:rsid w:val="00897AAA"/>
    <w:rsid w:val="008A1C0D"/>
    <w:rsid w:val="008A451B"/>
    <w:rsid w:val="008B22D3"/>
    <w:rsid w:val="008B4316"/>
    <w:rsid w:val="008B6256"/>
    <w:rsid w:val="008C2FB7"/>
    <w:rsid w:val="008C5984"/>
    <w:rsid w:val="008C73F7"/>
    <w:rsid w:val="008D1539"/>
    <w:rsid w:val="008D1AAF"/>
    <w:rsid w:val="008D2F23"/>
    <w:rsid w:val="008D3DC7"/>
    <w:rsid w:val="008D4F96"/>
    <w:rsid w:val="008D6650"/>
    <w:rsid w:val="008E0A9E"/>
    <w:rsid w:val="008E4D94"/>
    <w:rsid w:val="008E5699"/>
    <w:rsid w:val="008E65C9"/>
    <w:rsid w:val="008F0243"/>
    <w:rsid w:val="008F0852"/>
    <w:rsid w:val="008F4F21"/>
    <w:rsid w:val="008F5968"/>
    <w:rsid w:val="008F5D32"/>
    <w:rsid w:val="008F7436"/>
    <w:rsid w:val="009008B9"/>
    <w:rsid w:val="009026F4"/>
    <w:rsid w:val="009035D9"/>
    <w:rsid w:val="009078B3"/>
    <w:rsid w:val="00911848"/>
    <w:rsid w:val="00913B29"/>
    <w:rsid w:val="00915B1C"/>
    <w:rsid w:val="009162A2"/>
    <w:rsid w:val="00917ED3"/>
    <w:rsid w:val="009201C6"/>
    <w:rsid w:val="009237ED"/>
    <w:rsid w:val="0092666E"/>
    <w:rsid w:val="00930A96"/>
    <w:rsid w:val="00930B8E"/>
    <w:rsid w:val="00931438"/>
    <w:rsid w:val="00933776"/>
    <w:rsid w:val="00935E87"/>
    <w:rsid w:val="00940176"/>
    <w:rsid w:val="00940510"/>
    <w:rsid w:val="009406A9"/>
    <w:rsid w:val="009410B1"/>
    <w:rsid w:val="00944010"/>
    <w:rsid w:val="009445E2"/>
    <w:rsid w:val="009449DD"/>
    <w:rsid w:val="00945708"/>
    <w:rsid w:val="00950F39"/>
    <w:rsid w:val="00952FF6"/>
    <w:rsid w:val="00954C55"/>
    <w:rsid w:val="00961828"/>
    <w:rsid w:val="00964F85"/>
    <w:rsid w:val="009721E6"/>
    <w:rsid w:val="009724F0"/>
    <w:rsid w:val="009729A3"/>
    <w:rsid w:val="009777CA"/>
    <w:rsid w:val="00980F8A"/>
    <w:rsid w:val="00984990"/>
    <w:rsid w:val="00984BF7"/>
    <w:rsid w:val="00985E6E"/>
    <w:rsid w:val="00990EE1"/>
    <w:rsid w:val="00991602"/>
    <w:rsid w:val="009A0411"/>
    <w:rsid w:val="009A15D7"/>
    <w:rsid w:val="009A1ADB"/>
    <w:rsid w:val="009A1BF5"/>
    <w:rsid w:val="009A2CEF"/>
    <w:rsid w:val="009A336F"/>
    <w:rsid w:val="009A3A72"/>
    <w:rsid w:val="009A3B92"/>
    <w:rsid w:val="009A67ED"/>
    <w:rsid w:val="009A6D24"/>
    <w:rsid w:val="009B2183"/>
    <w:rsid w:val="009B2814"/>
    <w:rsid w:val="009B2B3B"/>
    <w:rsid w:val="009B35FA"/>
    <w:rsid w:val="009B7950"/>
    <w:rsid w:val="009C74EB"/>
    <w:rsid w:val="009C75D0"/>
    <w:rsid w:val="009D07DD"/>
    <w:rsid w:val="009D0978"/>
    <w:rsid w:val="009D3660"/>
    <w:rsid w:val="009D5761"/>
    <w:rsid w:val="009D70D8"/>
    <w:rsid w:val="009E01EA"/>
    <w:rsid w:val="009E0A77"/>
    <w:rsid w:val="009E2D40"/>
    <w:rsid w:val="009E33FE"/>
    <w:rsid w:val="009E45C1"/>
    <w:rsid w:val="009E4AA5"/>
    <w:rsid w:val="009F11F1"/>
    <w:rsid w:val="009F6377"/>
    <w:rsid w:val="00A00768"/>
    <w:rsid w:val="00A07E84"/>
    <w:rsid w:val="00A13398"/>
    <w:rsid w:val="00A16C03"/>
    <w:rsid w:val="00A173C0"/>
    <w:rsid w:val="00A17F95"/>
    <w:rsid w:val="00A216FF"/>
    <w:rsid w:val="00A22F7E"/>
    <w:rsid w:val="00A24D5B"/>
    <w:rsid w:val="00A25713"/>
    <w:rsid w:val="00A25E07"/>
    <w:rsid w:val="00A2699C"/>
    <w:rsid w:val="00A3056B"/>
    <w:rsid w:val="00A32ECF"/>
    <w:rsid w:val="00A35263"/>
    <w:rsid w:val="00A41088"/>
    <w:rsid w:val="00A413EA"/>
    <w:rsid w:val="00A414BC"/>
    <w:rsid w:val="00A53155"/>
    <w:rsid w:val="00A536A2"/>
    <w:rsid w:val="00A53AAB"/>
    <w:rsid w:val="00A5474D"/>
    <w:rsid w:val="00A62BD2"/>
    <w:rsid w:val="00A67062"/>
    <w:rsid w:val="00A70398"/>
    <w:rsid w:val="00A71064"/>
    <w:rsid w:val="00A727A6"/>
    <w:rsid w:val="00A75227"/>
    <w:rsid w:val="00A809A5"/>
    <w:rsid w:val="00A80A3C"/>
    <w:rsid w:val="00A81038"/>
    <w:rsid w:val="00A82BD4"/>
    <w:rsid w:val="00A8390B"/>
    <w:rsid w:val="00A84F16"/>
    <w:rsid w:val="00A87329"/>
    <w:rsid w:val="00A90C62"/>
    <w:rsid w:val="00A93731"/>
    <w:rsid w:val="00A941BE"/>
    <w:rsid w:val="00A95EBC"/>
    <w:rsid w:val="00AA104C"/>
    <w:rsid w:val="00AA10AD"/>
    <w:rsid w:val="00AA1961"/>
    <w:rsid w:val="00AA4BB0"/>
    <w:rsid w:val="00AA4D69"/>
    <w:rsid w:val="00AA7341"/>
    <w:rsid w:val="00AA77F4"/>
    <w:rsid w:val="00AA7C40"/>
    <w:rsid w:val="00AB2807"/>
    <w:rsid w:val="00AB4638"/>
    <w:rsid w:val="00AB4809"/>
    <w:rsid w:val="00AB5866"/>
    <w:rsid w:val="00AB7B5D"/>
    <w:rsid w:val="00AC2919"/>
    <w:rsid w:val="00AC5E16"/>
    <w:rsid w:val="00AC6927"/>
    <w:rsid w:val="00AD0EA9"/>
    <w:rsid w:val="00AD1787"/>
    <w:rsid w:val="00AD1E4B"/>
    <w:rsid w:val="00AD222C"/>
    <w:rsid w:val="00AD3E27"/>
    <w:rsid w:val="00AD4F53"/>
    <w:rsid w:val="00AD6501"/>
    <w:rsid w:val="00AE1075"/>
    <w:rsid w:val="00AE1C4F"/>
    <w:rsid w:val="00AE4C0D"/>
    <w:rsid w:val="00AE7C59"/>
    <w:rsid w:val="00AE7ECC"/>
    <w:rsid w:val="00AF28F8"/>
    <w:rsid w:val="00AF308D"/>
    <w:rsid w:val="00AF3E49"/>
    <w:rsid w:val="00AF5225"/>
    <w:rsid w:val="00AF723C"/>
    <w:rsid w:val="00AF72D3"/>
    <w:rsid w:val="00AF751F"/>
    <w:rsid w:val="00B002E7"/>
    <w:rsid w:val="00B03D21"/>
    <w:rsid w:val="00B03E10"/>
    <w:rsid w:val="00B04BBD"/>
    <w:rsid w:val="00B05557"/>
    <w:rsid w:val="00B075D5"/>
    <w:rsid w:val="00B07DF9"/>
    <w:rsid w:val="00B12FC7"/>
    <w:rsid w:val="00B13BC0"/>
    <w:rsid w:val="00B21ECB"/>
    <w:rsid w:val="00B233B2"/>
    <w:rsid w:val="00B25AC1"/>
    <w:rsid w:val="00B25E50"/>
    <w:rsid w:val="00B26BCF"/>
    <w:rsid w:val="00B31790"/>
    <w:rsid w:val="00B31DD4"/>
    <w:rsid w:val="00B33121"/>
    <w:rsid w:val="00B347AF"/>
    <w:rsid w:val="00B4062D"/>
    <w:rsid w:val="00B43115"/>
    <w:rsid w:val="00B44277"/>
    <w:rsid w:val="00B4447B"/>
    <w:rsid w:val="00B449E2"/>
    <w:rsid w:val="00B4577A"/>
    <w:rsid w:val="00B46380"/>
    <w:rsid w:val="00B46527"/>
    <w:rsid w:val="00B472A4"/>
    <w:rsid w:val="00B50996"/>
    <w:rsid w:val="00B534CF"/>
    <w:rsid w:val="00B540C7"/>
    <w:rsid w:val="00B543E6"/>
    <w:rsid w:val="00B558AD"/>
    <w:rsid w:val="00B707F3"/>
    <w:rsid w:val="00B70AA0"/>
    <w:rsid w:val="00B738F4"/>
    <w:rsid w:val="00B85874"/>
    <w:rsid w:val="00B87FC4"/>
    <w:rsid w:val="00B9212F"/>
    <w:rsid w:val="00B94108"/>
    <w:rsid w:val="00B9684A"/>
    <w:rsid w:val="00BA13AB"/>
    <w:rsid w:val="00BA2B03"/>
    <w:rsid w:val="00BA3F44"/>
    <w:rsid w:val="00BA4431"/>
    <w:rsid w:val="00BA57D4"/>
    <w:rsid w:val="00BA6677"/>
    <w:rsid w:val="00BC3CBB"/>
    <w:rsid w:val="00BC4748"/>
    <w:rsid w:val="00BC4E34"/>
    <w:rsid w:val="00BC58AF"/>
    <w:rsid w:val="00BC7711"/>
    <w:rsid w:val="00BD0506"/>
    <w:rsid w:val="00BD1814"/>
    <w:rsid w:val="00BD39A7"/>
    <w:rsid w:val="00BD75D2"/>
    <w:rsid w:val="00BD779A"/>
    <w:rsid w:val="00BE1D55"/>
    <w:rsid w:val="00BE3A86"/>
    <w:rsid w:val="00BE476B"/>
    <w:rsid w:val="00BE59DE"/>
    <w:rsid w:val="00BE6581"/>
    <w:rsid w:val="00BE7430"/>
    <w:rsid w:val="00BF001E"/>
    <w:rsid w:val="00BF16C1"/>
    <w:rsid w:val="00BF18C6"/>
    <w:rsid w:val="00BF1B52"/>
    <w:rsid w:val="00BF3508"/>
    <w:rsid w:val="00BF4A22"/>
    <w:rsid w:val="00BF56AF"/>
    <w:rsid w:val="00BF6F60"/>
    <w:rsid w:val="00C00F07"/>
    <w:rsid w:val="00C0386D"/>
    <w:rsid w:val="00C13249"/>
    <w:rsid w:val="00C21B57"/>
    <w:rsid w:val="00C245F1"/>
    <w:rsid w:val="00C25747"/>
    <w:rsid w:val="00C25B6E"/>
    <w:rsid w:val="00C263A6"/>
    <w:rsid w:val="00C273E0"/>
    <w:rsid w:val="00C27B04"/>
    <w:rsid w:val="00C30097"/>
    <w:rsid w:val="00C4257A"/>
    <w:rsid w:val="00C4401C"/>
    <w:rsid w:val="00C44995"/>
    <w:rsid w:val="00C462C7"/>
    <w:rsid w:val="00C47309"/>
    <w:rsid w:val="00C53574"/>
    <w:rsid w:val="00C54DD9"/>
    <w:rsid w:val="00C57ACE"/>
    <w:rsid w:val="00C61482"/>
    <w:rsid w:val="00C64B75"/>
    <w:rsid w:val="00C6616A"/>
    <w:rsid w:val="00C67BAA"/>
    <w:rsid w:val="00C74330"/>
    <w:rsid w:val="00C76AEE"/>
    <w:rsid w:val="00C76C62"/>
    <w:rsid w:val="00C80A7E"/>
    <w:rsid w:val="00C85A3F"/>
    <w:rsid w:val="00C86D3D"/>
    <w:rsid w:val="00C9438C"/>
    <w:rsid w:val="00C978A9"/>
    <w:rsid w:val="00CA6760"/>
    <w:rsid w:val="00CB2DC3"/>
    <w:rsid w:val="00CB32EB"/>
    <w:rsid w:val="00CB46BE"/>
    <w:rsid w:val="00CB540F"/>
    <w:rsid w:val="00CB7701"/>
    <w:rsid w:val="00CC0315"/>
    <w:rsid w:val="00CC06EC"/>
    <w:rsid w:val="00CD021B"/>
    <w:rsid w:val="00CD20E0"/>
    <w:rsid w:val="00CD25B6"/>
    <w:rsid w:val="00CD2F5F"/>
    <w:rsid w:val="00CE0803"/>
    <w:rsid w:val="00CE2362"/>
    <w:rsid w:val="00CE5203"/>
    <w:rsid w:val="00CE68A4"/>
    <w:rsid w:val="00CF4629"/>
    <w:rsid w:val="00D06CEC"/>
    <w:rsid w:val="00D074D6"/>
    <w:rsid w:val="00D10BFD"/>
    <w:rsid w:val="00D110EA"/>
    <w:rsid w:val="00D17042"/>
    <w:rsid w:val="00D17A0F"/>
    <w:rsid w:val="00D17D2C"/>
    <w:rsid w:val="00D2159D"/>
    <w:rsid w:val="00D2413B"/>
    <w:rsid w:val="00D262FB"/>
    <w:rsid w:val="00D30230"/>
    <w:rsid w:val="00D30463"/>
    <w:rsid w:val="00D31B00"/>
    <w:rsid w:val="00D35802"/>
    <w:rsid w:val="00D37B34"/>
    <w:rsid w:val="00D4094B"/>
    <w:rsid w:val="00D432D1"/>
    <w:rsid w:val="00D447AC"/>
    <w:rsid w:val="00D5343A"/>
    <w:rsid w:val="00D554B4"/>
    <w:rsid w:val="00D65638"/>
    <w:rsid w:val="00D67A15"/>
    <w:rsid w:val="00D71FD7"/>
    <w:rsid w:val="00D807ED"/>
    <w:rsid w:val="00D82867"/>
    <w:rsid w:val="00D83172"/>
    <w:rsid w:val="00D8487E"/>
    <w:rsid w:val="00D855EB"/>
    <w:rsid w:val="00D874BB"/>
    <w:rsid w:val="00D87AF1"/>
    <w:rsid w:val="00D9013D"/>
    <w:rsid w:val="00D91AEB"/>
    <w:rsid w:val="00D91DD9"/>
    <w:rsid w:val="00D9257A"/>
    <w:rsid w:val="00D93FA0"/>
    <w:rsid w:val="00D94D9F"/>
    <w:rsid w:val="00D952E9"/>
    <w:rsid w:val="00DA1DA8"/>
    <w:rsid w:val="00DA6C56"/>
    <w:rsid w:val="00DA7418"/>
    <w:rsid w:val="00DB2530"/>
    <w:rsid w:val="00DB319D"/>
    <w:rsid w:val="00DB4C29"/>
    <w:rsid w:val="00DC0BBD"/>
    <w:rsid w:val="00DC19D4"/>
    <w:rsid w:val="00DC2E3B"/>
    <w:rsid w:val="00DC358B"/>
    <w:rsid w:val="00DC5014"/>
    <w:rsid w:val="00DC6A65"/>
    <w:rsid w:val="00DC77DC"/>
    <w:rsid w:val="00DC791F"/>
    <w:rsid w:val="00DD2AEA"/>
    <w:rsid w:val="00DD30A0"/>
    <w:rsid w:val="00DD4AC6"/>
    <w:rsid w:val="00DD5465"/>
    <w:rsid w:val="00DD751B"/>
    <w:rsid w:val="00DE0423"/>
    <w:rsid w:val="00DE0A8B"/>
    <w:rsid w:val="00DE15AF"/>
    <w:rsid w:val="00DE3712"/>
    <w:rsid w:val="00DE57A9"/>
    <w:rsid w:val="00DE694C"/>
    <w:rsid w:val="00DF24F4"/>
    <w:rsid w:val="00DF4826"/>
    <w:rsid w:val="00E0077F"/>
    <w:rsid w:val="00E02D53"/>
    <w:rsid w:val="00E03C21"/>
    <w:rsid w:val="00E043DB"/>
    <w:rsid w:val="00E0731E"/>
    <w:rsid w:val="00E13FA6"/>
    <w:rsid w:val="00E15533"/>
    <w:rsid w:val="00E2009A"/>
    <w:rsid w:val="00E21999"/>
    <w:rsid w:val="00E221C8"/>
    <w:rsid w:val="00E22DFE"/>
    <w:rsid w:val="00E23692"/>
    <w:rsid w:val="00E25215"/>
    <w:rsid w:val="00E25BE8"/>
    <w:rsid w:val="00E32FA0"/>
    <w:rsid w:val="00E3503D"/>
    <w:rsid w:val="00E365FB"/>
    <w:rsid w:val="00E3727C"/>
    <w:rsid w:val="00E43CC0"/>
    <w:rsid w:val="00E56264"/>
    <w:rsid w:val="00E567B9"/>
    <w:rsid w:val="00E626C0"/>
    <w:rsid w:val="00E6326A"/>
    <w:rsid w:val="00E666F9"/>
    <w:rsid w:val="00E71B22"/>
    <w:rsid w:val="00E72383"/>
    <w:rsid w:val="00E7260D"/>
    <w:rsid w:val="00E757B6"/>
    <w:rsid w:val="00E77112"/>
    <w:rsid w:val="00E800EA"/>
    <w:rsid w:val="00E80DBA"/>
    <w:rsid w:val="00E8204E"/>
    <w:rsid w:val="00E83E57"/>
    <w:rsid w:val="00E84FC3"/>
    <w:rsid w:val="00E90BD1"/>
    <w:rsid w:val="00E93DFB"/>
    <w:rsid w:val="00EA34BF"/>
    <w:rsid w:val="00EA5690"/>
    <w:rsid w:val="00EA6A55"/>
    <w:rsid w:val="00EA6CCE"/>
    <w:rsid w:val="00EA75DC"/>
    <w:rsid w:val="00EB6637"/>
    <w:rsid w:val="00EC1681"/>
    <w:rsid w:val="00EC42F4"/>
    <w:rsid w:val="00EC761B"/>
    <w:rsid w:val="00ED1BD6"/>
    <w:rsid w:val="00ED48D0"/>
    <w:rsid w:val="00ED6C40"/>
    <w:rsid w:val="00ED77BB"/>
    <w:rsid w:val="00EE2679"/>
    <w:rsid w:val="00EE27B2"/>
    <w:rsid w:val="00EE4102"/>
    <w:rsid w:val="00EE5B77"/>
    <w:rsid w:val="00EF5243"/>
    <w:rsid w:val="00EF6646"/>
    <w:rsid w:val="00F0001F"/>
    <w:rsid w:val="00F027A7"/>
    <w:rsid w:val="00F0290B"/>
    <w:rsid w:val="00F05D1A"/>
    <w:rsid w:val="00F07AF6"/>
    <w:rsid w:val="00F1266F"/>
    <w:rsid w:val="00F1425D"/>
    <w:rsid w:val="00F15FEA"/>
    <w:rsid w:val="00F17386"/>
    <w:rsid w:val="00F20606"/>
    <w:rsid w:val="00F2258B"/>
    <w:rsid w:val="00F22F95"/>
    <w:rsid w:val="00F235BD"/>
    <w:rsid w:val="00F2393E"/>
    <w:rsid w:val="00F24931"/>
    <w:rsid w:val="00F27792"/>
    <w:rsid w:val="00F27BD8"/>
    <w:rsid w:val="00F32793"/>
    <w:rsid w:val="00F32FEF"/>
    <w:rsid w:val="00F3410D"/>
    <w:rsid w:val="00F37477"/>
    <w:rsid w:val="00F41A94"/>
    <w:rsid w:val="00F43DCD"/>
    <w:rsid w:val="00F529AE"/>
    <w:rsid w:val="00F5415A"/>
    <w:rsid w:val="00F55220"/>
    <w:rsid w:val="00F563AA"/>
    <w:rsid w:val="00F571E6"/>
    <w:rsid w:val="00F610F1"/>
    <w:rsid w:val="00F63FDD"/>
    <w:rsid w:val="00F6705F"/>
    <w:rsid w:val="00F73BCA"/>
    <w:rsid w:val="00F8400E"/>
    <w:rsid w:val="00F94755"/>
    <w:rsid w:val="00F962B1"/>
    <w:rsid w:val="00F96467"/>
    <w:rsid w:val="00F9708F"/>
    <w:rsid w:val="00FA2E56"/>
    <w:rsid w:val="00FA585B"/>
    <w:rsid w:val="00FA61D4"/>
    <w:rsid w:val="00FB0F86"/>
    <w:rsid w:val="00FB2DC9"/>
    <w:rsid w:val="00FB3F7F"/>
    <w:rsid w:val="00FB4E5D"/>
    <w:rsid w:val="00FB5129"/>
    <w:rsid w:val="00FB53A2"/>
    <w:rsid w:val="00FB617C"/>
    <w:rsid w:val="00FB7979"/>
    <w:rsid w:val="00FC171F"/>
    <w:rsid w:val="00FC3824"/>
    <w:rsid w:val="00FC575C"/>
    <w:rsid w:val="00FD0A15"/>
    <w:rsid w:val="00FD0EC5"/>
    <w:rsid w:val="00FD232B"/>
    <w:rsid w:val="00FD267A"/>
    <w:rsid w:val="00FD2C4B"/>
    <w:rsid w:val="00FD337B"/>
    <w:rsid w:val="00FD3E35"/>
    <w:rsid w:val="00FD4282"/>
    <w:rsid w:val="00FD555E"/>
    <w:rsid w:val="00FD5E74"/>
    <w:rsid w:val="00FD61D4"/>
    <w:rsid w:val="00FE0B70"/>
    <w:rsid w:val="00FE66E3"/>
    <w:rsid w:val="00FF16F1"/>
    <w:rsid w:val="00FF1BFA"/>
    <w:rsid w:val="00FF554D"/>
    <w:rsid w:val="00FF574E"/>
    <w:rsid w:val="00FF5DEC"/>
    <w:rsid w:val="00FF6D8F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0FEDC"/>
  <w15:docId w15:val="{724AECD0-B484-4ED5-8B1D-EFD8A269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5027"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795027"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95027"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0139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10139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sid w:val="00795027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95027"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semiHidden/>
    <w:rsid w:val="0079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4A1472"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rsid w:val="007950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EF5243"/>
    <w:rPr>
      <w:rFonts w:ascii="Trebuchet MS" w:hAnsi="Trebuchet MS" w:cs="Arial"/>
      <w:color w:val="000000"/>
    </w:rPr>
  </w:style>
  <w:style w:type="character" w:styleId="Hipercze">
    <w:name w:val="Hyperlink"/>
    <w:semiHidden/>
    <w:rsid w:val="0079502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A0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7A0704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rsid w:val="005F6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sid w:val="006760B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6760B7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  <w:rsid w:val="006A525A"/>
  </w:style>
  <w:style w:type="character" w:customStyle="1" w:styleId="TekstprzypisukocowegoZnak">
    <w:name w:val="Tekst przypisu końcowego Znak"/>
    <w:link w:val="Tekstprzypisukocowego"/>
    <w:semiHidden/>
    <w:locked/>
    <w:rsid w:val="006A525A"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sid w:val="006A525A"/>
    <w:rPr>
      <w:rFonts w:cs="Times New Roman"/>
      <w:vertAlign w:val="superscript"/>
    </w:rPr>
  </w:style>
  <w:style w:type="character" w:styleId="Odwoaniedokomentarza">
    <w:name w:val="annotation reference"/>
    <w:semiHidden/>
    <w:rsid w:val="003F53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5330"/>
  </w:style>
  <w:style w:type="character" w:customStyle="1" w:styleId="TekstkomentarzaZnak">
    <w:name w:val="Tekst komentarza Znak"/>
    <w:link w:val="Tekstkomentarza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533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01394"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3B29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A216F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rsid w:val="00C54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54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B054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0546"/>
    <w:rPr>
      <w:rFonts w:ascii="Trebuchet MS" w:hAnsi="Trebuchet MS" w:cs="Arial"/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2B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DA81E-9444-4446-9794-E77FEAC1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jakość zobowiązań                                     polskich przedsiębiorstw</vt:lpstr>
    </vt:vector>
  </TitlesOfParts>
  <Company>KPF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jakość zobowiązań                                     polskich przedsiębiorstw</dc:title>
  <dc:creator>Andrzej Roter</dc:creator>
  <cp:lastModifiedBy>Biuro</cp:lastModifiedBy>
  <cp:revision>2</cp:revision>
  <cp:lastPrinted>2020-05-13T19:23:00Z</cp:lastPrinted>
  <dcterms:created xsi:type="dcterms:W3CDTF">2021-11-23T08:23:00Z</dcterms:created>
  <dcterms:modified xsi:type="dcterms:W3CDTF">2021-11-23T08:23:00Z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